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988"/>
        <w:gridCol w:w="166"/>
        <w:gridCol w:w="3822"/>
      </w:tblGrid>
      <w:tr w:rsidR="00016D6B" w:rsidRPr="00F817A9" w:rsidTr="009F1B33">
        <w:tc>
          <w:tcPr>
            <w:tcW w:w="1795" w:type="dxa"/>
            <w:shd w:val="clear" w:color="auto" w:fill="F2F2F2"/>
          </w:tcPr>
          <w:p w:rsidR="00016D6B" w:rsidRPr="00F817A9" w:rsidRDefault="00016D6B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Purpose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596CFC" w:rsidRPr="00A82F9F" w:rsidRDefault="007E1AED" w:rsidP="00A82F9F">
            <w:pPr>
              <w:jc w:val="left"/>
              <w:rPr>
                <w:rFonts w:eastAsia="Times New Roman" w:cs="Calibri"/>
                <w:lang w:eastAsia="en-NZ"/>
              </w:rPr>
            </w:pPr>
            <w:r w:rsidRPr="00A82F9F">
              <w:rPr>
                <w:rFonts w:eastAsia="Times New Roman" w:cs="Calibri"/>
                <w:lang w:eastAsia="en-NZ"/>
              </w:rPr>
              <w:t xml:space="preserve">To provide a framework that supports </w:t>
            </w:r>
          </w:p>
          <w:p w:rsidR="00596CFC" w:rsidRDefault="007E1AED" w:rsidP="00596CFC">
            <w:pPr>
              <w:pStyle w:val="ListParagraph"/>
              <w:numPr>
                <w:ilvl w:val="1"/>
                <w:numId w:val="2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a diverse workforce</w:t>
            </w:r>
          </w:p>
          <w:p w:rsidR="00596CFC" w:rsidRDefault="00B72B43" w:rsidP="00596CFC">
            <w:pPr>
              <w:pStyle w:val="ListParagraph"/>
              <w:numPr>
                <w:ilvl w:val="1"/>
                <w:numId w:val="2"/>
              </w:num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inclusion of the diverse individual working for us</w:t>
            </w:r>
          </w:p>
          <w:p w:rsidR="006427D6" w:rsidRDefault="007E1AED" w:rsidP="00596CFC">
            <w:pPr>
              <w:pStyle w:val="ListParagraph"/>
              <w:numPr>
                <w:ilvl w:val="1"/>
                <w:numId w:val="2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equal employment opportunities.</w:t>
            </w:r>
          </w:p>
          <w:p w:rsidR="006427D6" w:rsidRPr="006427D6" w:rsidRDefault="006427D6" w:rsidP="001D66E9">
            <w:pPr>
              <w:pStyle w:val="ListParagraph"/>
              <w:numPr>
                <w:ilvl w:val="0"/>
                <w:numId w:val="2"/>
              </w:num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To express our belief that a strong diversity and inclusion strategy helps our organisation to attract talented people and drive innovative results.</w:t>
            </w:r>
            <w:r w:rsidRPr="006427D6">
              <w:rPr>
                <w:rFonts w:eastAsia="Times New Roman" w:cs="Calibri"/>
                <w:lang w:eastAsia="en-NZ"/>
              </w:rPr>
              <w:t xml:space="preserve"> </w:t>
            </w:r>
          </w:p>
        </w:tc>
      </w:tr>
      <w:tr w:rsidR="00016D6B" w:rsidRPr="00F817A9" w:rsidTr="009F1B33">
        <w:tc>
          <w:tcPr>
            <w:tcW w:w="1795" w:type="dxa"/>
            <w:shd w:val="clear" w:color="auto" w:fill="F2F2F2"/>
          </w:tcPr>
          <w:p w:rsidR="00016D6B" w:rsidRPr="00F817A9" w:rsidRDefault="00016D6B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Scope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016D6B" w:rsidRPr="006427D6" w:rsidRDefault="0085497A" w:rsidP="00F817A9">
            <w:p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 xml:space="preserve">Our organisation’s </w:t>
            </w:r>
            <w:r w:rsidR="007E1AED" w:rsidRPr="006427D6">
              <w:rPr>
                <w:rFonts w:eastAsia="Times New Roman" w:cs="Calibri"/>
                <w:lang w:eastAsia="en-NZ"/>
              </w:rPr>
              <w:t>employees, Board of Trustee’s/Director(s) and contractors.</w:t>
            </w:r>
          </w:p>
        </w:tc>
      </w:tr>
      <w:tr w:rsidR="00B03435" w:rsidRPr="00F817A9" w:rsidTr="00596756">
        <w:trPr>
          <w:trHeight w:val="790"/>
        </w:trPr>
        <w:tc>
          <w:tcPr>
            <w:tcW w:w="1795" w:type="dxa"/>
            <w:vMerge w:val="restart"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Policy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B03435" w:rsidRPr="006427D6" w:rsidRDefault="00B03435" w:rsidP="00F817A9">
            <w:p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We are committed to meeting our responsibilities under the Treaty of Waitangi and to the principle and practice</w:t>
            </w:r>
            <w:r w:rsidR="00B72B43">
              <w:rPr>
                <w:rFonts w:eastAsia="Times New Roman" w:cs="Calibri"/>
                <w:lang w:eastAsia="en-NZ"/>
              </w:rPr>
              <w:t xml:space="preserve"> of equity. Non- discriminatory, diversity supportive and inclusive </w:t>
            </w:r>
            <w:r w:rsidRPr="006427D6">
              <w:rPr>
                <w:rFonts w:eastAsia="Times New Roman" w:cs="Calibri"/>
                <w:lang w:eastAsia="en-NZ"/>
              </w:rPr>
              <w:t>practices will inform the following processes:</w:t>
            </w:r>
          </w:p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When recruiting and selecting employees.</w:t>
            </w:r>
          </w:p>
          <w:p w:rsidR="00B03435" w:rsidRPr="006427D6" w:rsidRDefault="00B03435" w:rsidP="001D66E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Setting terms, conditions and benefits offered as part of employment.</w:t>
            </w:r>
          </w:p>
          <w:p w:rsidR="00B03435" w:rsidRPr="006427D6" w:rsidRDefault="00B03435" w:rsidP="001D66E9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Determining who receives training and what sort of training is offered.</w:t>
            </w:r>
          </w:p>
          <w:p w:rsidR="00B03435" w:rsidRPr="006427D6" w:rsidRDefault="00B03435" w:rsidP="001D66E9">
            <w:pPr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Deciding who is considered and selected for transfer, promotion, retrenchment or dismissal.</w:t>
            </w:r>
          </w:p>
          <w:p w:rsidR="00B03435" w:rsidRPr="00DA32D0" w:rsidRDefault="00B03435" w:rsidP="00DA32D0">
            <w:p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Discrimination for the following reasons will not be tolerated:</w:t>
            </w:r>
          </w:p>
        </w:tc>
      </w:tr>
      <w:tr w:rsidR="00B03435" w:rsidRPr="00F817A9" w:rsidTr="00B03435">
        <w:trPr>
          <w:trHeight w:val="403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D9E2F3" w:themeFill="accent5" w:themeFillTint="33"/>
          </w:tcPr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ethnic or national origins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ethical belief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B03435" w:rsidRPr="00F817A9" w:rsidTr="00B03435">
        <w:trPr>
          <w:trHeight w:val="397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auto"/>
          </w:tcPr>
          <w:p w:rsidR="00B03435" w:rsidRPr="00F817A9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disability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3988" w:type="dxa"/>
            <w:gridSpan w:val="2"/>
            <w:shd w:val="clear" w:color="auto" w:fill="D9E2F3" w:themeFill="accent5" w:themeFillTint="33"/>
          </w:tcPr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religious belief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B03435" w:rsidRPr="00F817A9" w:rsidTr="00B03435">
        <w:trPr>
          <w:trHeight w:val="405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D9E2F3" w:themeFill="accent5" w:themeFillTint="33"/>
          </w:tcPr>
          <w:p w:rsidR="00B03435" w:rsidRPr="00F817A9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age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3988" w:type="dxa"/>
            <w:gridSpan w:val="2"/>
            <w:shd w:val="clear" w:color="auto" w:fill="auto"/>
          </w:tcPr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>marital status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B03435" w:rsidRPr="00F817A9" w:rsidTr="00B03435">
        <w:trPr>
          <w:trHeight w:val="285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auto"/>
          </w:tcPr>
          <w:p w:rsidR="00B03435" w:rsidRPr="006427D6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6427D6">
              <w:rPr>
                <w:rFonts w:eastAsia="Times New Roman" w:cs="Calibri"/>
                <w:lang w:eastAsia="en-NZ"/>
              </w:rPr>
              <w:t xml:space="preserve">gender identity 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3988" w:type="dxa"/>
            <w:gridSpan w:val="2"/>
            <w:shd w:val="clear" w:color="auto" w:fill="D9E2F3" w:themeFill="accent5" w:themeFillTint="33"/>
          </w:tcPr>
          <w:p w:rsidR="00B03435" w:rsidRPr="00F817A9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political opinion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B03435" w:rsidRPr="00F817A9" w:rsidTr="00B03435">
        <w:trPr>
          <w:trHeight w:val="293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D9E2F3" w:themeFill="accent5" w:themeFillTint="33"/>
          </w:tcPr>
          <w:p w:rsidR="00B03435" w:rsidRPr="00F817A9" w:rsidRDefault="00B03435" w:rsidP="001D66E9">
            <w:pPr>
              <w:pStyle w:val="ListParagraph"/>
              <w:numPr>
                <w:ilvl w:val="0"/>
                <w:numId w:val="1"/>
              </w:numPr>
              <w:shd w:val="clear" w:color="auto" w:fill="D9E2F3" w:themeFill="accent5" w:themeFillTint="33"/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employment status</w:t>
            </w:r>
          </w:p>
          <w:p w:rsidR="00B03435" w:rsidRPr="006427D6" w:rsidRDefault="00B03435" w:rsidP="00B03435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3988" w:type="dxa"/>
            <w:gridSpan w:val="2"/>
            <w:shd w:val="clear" w:color="auto" w:fill="auto"/>
          </w:tcPr>
          <w:p w:rsidR="00B03435" w:rsidRPr="00DA32D0" w:rsidRDefault="00B03435" w:rsidP="001D66E9">
            <w:pPr>
              <w:pStyle w:val="ListParagraph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 w:cs="Calibri"/>
                <w:lang w:eastAsia="en-NZ"/>
              </w:rPr>
            </w:pPr>
            <w:r w:rsidRPr="00DA32D0">
              <w:rPr>
                <w:rFonts w:eastAsia="Times New Roman" w:cs="Calibri"/>
                <w:lang w:eastAsia="en-NZ"/>
              </w:rPr>
              <w:t>sexual orientation</w:t>
            </w:r>
          </w:p>
        </w:tc>
      </w:tr>
      <w:tr w:rsidR="00B03435" w:rsidRPr="00F817A9" w:rsidTr="006753D0">
        <w:trPr>
          <w:trHeight w:val="428"/>
        </w:trPr>
        <w:tc>
          <w:tcPr>
            <w:tcW w:w="1795" w:type="dxa"/>
            <w:vMerge/>
            <w:shd w:val="clear" w:color="auto" w:fill="F2F2F2"/>
          </w:tcPr>
          <w:p w:rsidR="00B03435" w:rsidRPr="00F817A9" w:rsidRDefault="00B0343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3988" w:type="dxa"/>
            <w:shd w:val="clear" w:color="auto" w:fill="auto"/>
          </w:tcPr>
          <w:p w:rsidR="00B03435" w:rsidRPr="00F817A9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family status</w:t>
            </w:r>
          </w:p>
        </w:tc>
        <w:tc>
          <w:tcPr>
            <w:tcW w:w="3988" w:type="dxa"/>
            <w:gridSpan w:val="2"/>
            <w:shd w:val="clear" w:color="auto" w:fill="D9E2F3" w:themeFill="accent5" w:themeFillTint="33"/>
          </w:tcPr>
          <w:p w:rsidR="00B03435" w:rsidRPr="00B03435" w:rsidRDefault="00B03435" w:rsidP="001D66E9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eastAsia="Times New Roman" w:cs="Calibri"/>
                <w:lang w:eastAsia="en-NZ"/>
              </w:rPr>
              <w:t>race</w:t>
            </w:r>
          </w:p>
        </w:tc>
      </w:tr>
      <w:tr w:rsidR="00166A26" w:rsidRPr="00F817A9" w:rsidTr="009F1B33">
        <w:tc>
          <w:tcPr>
            <w:tcW w:w="1795" w:type="dxa"/>
            <w:vMerge w:val="restart"/>
            <w:shd w:val="clear" w:color="auto" w:fill="F2F2F2"/>
          </w:tcPr>
          <w:p w:rsidR="00166A26" w:rsidRPr="00F817A9" w:rsidRDefault="00166A26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Principles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166A26" w:rsidRPr="00166A26" w:rsidRDefault="00166A26" w:rsidP="00166A26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We adopt t</w:t>
            </w:r>
            <w:r w:rsidRPr="00166A26">
              <w:rPr>
                <w:rFonts w:eastAsia="Times New Roman" w:cs="Calibri"/>
                <w:b/>
                <w:lang w:eastAsia="en-NZ"/>
              </w:rPr>
              <w:t xml:space="preserve">he following </w:t>
            </w:r>
            <w:r>
              <w:rPr>
                <w:rFonts w:eastAsia="Times New Roman" w:cs="Calibri"/>
                <w:b/>
                <w:lang w:eastAsia="en-NZ"/>
              </w:rPr>
              <w:t>ideas that</w:t>
            </w:r>
            <w:r w:rsidRPr="00166A26">
              <w:rPr>
                <w:rFonts w:eastAsia="Times New Roman" w:cs="Calibri"/>
                <w:b/>
                <w:lang w:eastAsia="en-NZ"/>
              </w:rPr>
              <w:t xml:space="preserve"> support diversity and inclusion at the workplace (McKinsey 2018):</w:t>
            </w:r>
          </w:p>
        </w:tc>
      </w:tr>
      <w:tr w:rsidR="00166A26" w:rsidRPr="00F817A9" w:rsidTr="00166A26">
        <w:tc>
          <w:tcPr>
            <w:tcW w:w="1795" w:type="dxa"/>
            <w:vMerge/>
            <w:shd w:val="clear" w:color="auto" w:fill="F2F2F2"/>
          </w:tcPr>
          <w:p w:rsidR="00166A26" w:rsidRDefault="00166A26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4154" w:type="dxa"/>
            <w:gridSpan w:val="2"/>
            <w:shd w:val="clear" w:color="auto" w:fill="DEEAF6" w:themeFill="accent1" w:themeFillTint="33"/>
          </w:tcPr>
          <w:p w:rsidR="00166A26" w:rsidRDefault="00166A26" w:rsidP="00DB70A1">
            <w:pPr>
              <w:jc w:val="left"/>
              <w:rPr>
                <w:rFonts w:eastAsia="Times New Roman" w:cs="Calibri"/>
                <w:lang w:eastAsia="en-NZ"/>
              </w:rPr>
            </w:pPr>
            <w:r>
              <w:rPr>
                <w:rFonts w:cs="Calibri"/>
              </w:rPr>
              <w:t>We e</w:t>
            </w:r>
            <w:r w:rsidRPr="00901CC7">
              <w:rPr>
                <w:rFonts w:cs="Calibri"/>
              </w:rPr>
              <w:t>stablish a sense of belonging for everyone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3822" w:type="dxa"/>
            <w:shd w:val="clear" w:color="auto" w:fill="auto"/>
          </w:tcPr>
          <w:p w:rsidR="00166A26" w:rsidRDefault="00166A26" w:rsidP="00F817A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We provide empathetic leadership.</w:t>
            </w:r>
          </w:p>
          <w:p w:rsidR="00166A26" w:rsidRDefault="00166A26" w:rsidP="00F817A9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166A26" w:rsidRPr="00F817A9" w:rsidTr="00166A26">
        <w:tc>
          <w:tcPr>
            <w:tcW w:w="1795" w:type="dxa"/>
            <w:vMerge/>
            <w:shd w:val="clear" w:color="auto" w:fill="F2F2F2"/>
          </w:tcPr>
          <w:p w:rsidR="00166A26" w:rsidRDefault="00166A26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:rsidR="00166A26" w:rsidRPr="00901CC7" w:rsidRDefault="00166A26" w:rsidP="00F817A9">
            <w:pPr>
              <w:jc w:val="left"/>
              <w:rPr>
                <w:rFonts w:cs="Calibri"/>
              </w:rPr>
            </w:pPr>
            <w:r>
              <w:t>Top-down approaches drive compliance, not commitment.</w:t>
            </w:r>
          </w:p>
        </w:tc>
        <w:tc>
          <w:tcPr>
            <w:tcW w:w="3822" w:type="dxa"/>
            <w:shd w:val="clear" w:color="auto" w:fill="DEEAF6" w:themeFill="accent1" w:themeFillTint="33"/>
          </w:tcPr>
          <w:p w:rsidR="00166A26" w:rsidRPr="00D70867" w:rsidRDefault="00166A26" w:rsidP="00D70867">
            <w:pPr>
              <w:pStyle w:val="Heading2"/>
              <w:spacing w:before="0"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D7086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Quotas don’t automate inclusion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.</w:t>
            </w:r>
          </w:p>
          <w:p w:rsidR="00166A26" w:rsidRDefault="00166A26" w:rsidP="00F817A9">
            <w:pPr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166A26" w:rsidRPr="00F817A9" w:rsidTr="00166A26">
        <w:tc>
          <w:tcPr>
            <w:tcW w:w="1795" w:type="dxa"/>
            <w:vMerge/>
            <w:shd w:val="clear" w:color="auto" w:fill="F2F2F2"/>
          </w:tcPr>
          <w:p w:rsidR="00166A26" w:rsidRDefault="00166A26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4154" w:type="dxa"/>
            <w:gridSpan w:val="2"/>
            <w:shd w:val="clear" w:color="auto" w:fill="DEEAF6" w:themeFill="accent1" w:themeFillTint="33"/>
          </w:tcPr>
          <w:p w:rsidR="00166A26" w:rsidRDefault="00166A26" w:rsidP="00F817A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Inclusion is ongoing – not a one-off training.</w:t>
            </w:r>
          </w:p>
          <w:p w:rsidR="00166A26" w:rsidRDefault="00166A26" w:rsidP="00F817A9">
            <w:pPr>
              <w:jc w:val="left"/>
              <w:rPr>
                <w:rFonts w:cs="Calibri"/>
              </w:rPr>
            </w:pPr>
          </w:p>
        </w:tc>
        <w:tc>
          <w:tcPr>
            <w:tcW w:w="3822" w:type="dxa"/>
            <w:shd w:val="clear" w:color="auto" w:fill="auto"/>
          </w:tcPr>
          <w:p w:rsidR="00166A26" w:rsidRDefault="00166A26" w:rsidP="00DB70A1">
            <w:pPr>
              <w:pStyle w:val="Heading2"/>
              <w:spacing w:before="0"/>
              <w:jc w:val="left"/>
              <w:rPr>
                <w:rFonts w:cs="Calibri"/>
                <w:lang w:eastAsia="en-NZ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We m</w:t>
            </w:r>
            <w:r w:rsidRPr="00D7086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aximize joy and connection, minimize fear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166A26" w:rsidRPr="00F817A9" w:rsidTr="00166A26">
        <w:tc>
          <w:tcPr>
            <w:tcW w:w="1795" w:type="dxa"/>
            <w:vMerge/>
            <w:shd w:val="clear" w:color="auto" w:fill="F2F2F2"/>
          </w:tcPr>
          <w:p w:rsidR="00166A26" w:rsidRDefault="00166A26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:rsidR="00166A26" w:rsidRDefault="00166A26" w:rsidP="00A82F9F">
            <w:pPr>
              <w:pStyle w:val="Heading2"/>
              <w:spacing w:before="0"/>
              <w:jc w:val="left"/>
              <w:rPr>
                <w:rFonts w:cs="Calibri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We f</w:t>
            </w:r>
            <w:r w:rsidRPr="00AF55A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orget ‘fit’ and focus on </w:t>
            </w:r>
            <w:r w:rsidR="00A82F9F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supporting </w:t>
            </w:r>
            <w:r w:rsidRPr="00AF55A3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individuals thrive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822" w:type="dxa"/>
            <w:shd w:val="clear" w:color="auto" w:fill="DEEAF6" w:themeFill="accent1" w:themeFillTint="33"/>
          </w:tcPr>
          <w:p w:rsidR="00166A26" w:rsidRPr="00D70867" w:rsidRDefault="00166A26" w:rsidP="00DB70A1">
            <w:pPr>
              <w:pStyle w:val="Heading2"/>
              <w:spacing w:before="0"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We consider our ‘brand’.</w:t>
            </w:r>
          </w:p>
        </w:tc>
      </w:tr>
      <w:tr w:rsidR="008737DE" w:rsidRPr="00F817A9" w:rsidTr="009F1B33">
        <w:tc>
          <w:tcPr>
            <w:tcW w:w="9771" w:type="dxa"/>
            <w:gridSpan w:val="4"/>
            <w:shd w:val="clear" w:color="auto" w:fill="F2F2F2"/>
          </w:tcPr>
          <w:p w:rsidR="008737DE" w:rsidRPr="006427D6" w:rsidRDefault="008737DE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6427D6">
              <w:rPr>
                <w:rFonts w:eastAsia="Times New Roman" w:cs="Calibri"/>
                <w:b/>
                <w:lang w:eastAsia="en-NZ"/>
              </w:rPr>
              <w:t>References</w:t>
            </w:r>
          </w:p>
        </w:tc>
      </w:tr>
      <w:tr w:rsidR="001C6BDA" w:rsidRPr="00F817A9" w:rsidTr="009F1B33">
        <w:tc>
          <w:tcPr>
            <w:tcW w:w="1795" w:type="dxa"/>
            <w:shd w:val="clear" w:color="auto" w:fill="F2F2F2"/>
          </w:tcPr>
          <w:p w:rsidR="001C6BDA" w:rsidRPr="00F817A9" w:rsidRDefault="001F562C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hyperlink r:id="rId8" w:history="1">
              <w:r w:rsidR="00AB5A98" w:rsidRPr="00FD0F4E">
                <w:rPr>
                  <w:rStyle w:val="Hyperlink"/>
                  <w:rFonts w:eastAsia="Times New Roman" w:cs="Calibri"/>
                  <w:b/>
                  <w:lang w:eastAsia="en-NZ"/>
                </w:rPr>
                <w:t>Legislation</w:t>
              </w:r>
            </w:hyperlink>
          </w:p>
        </w:tc>
        <w:tc>
          <w:tcPr>
            <w:tcW w:w="7976" w:type="dxa"/>
            <w:gridSpan w:val="3"/>
            <w:shd w:val="clear" w:color="auto" w:fill="auto"/>
          </w:tcPr>
          <w:p w:rsidR="00654E49" w:rsidRPr="006427D6" w:rsidRDefault="001F562C" w:rsidP="00F817A9">
            <w:pPr>
              <w:pStyle w:val="Heading2"/>
              <w:spacing w:before="0"/>
              <w:jc w:val="left"/>
              <w:rPr>
                <w:rFonts w:asciiTheme="minorHAnsi" w:hAnsiTheme="minorHAnsi" w:cstheme="minorHAnsi"/>
                <w:b w:val="0"/>
                <w:color w:val="2F5496" w:themeColor="accent5" w:themeShade="BF"/>
                <w:sz w:val="22"/>
                <w:szCs w:val="22"/>
              </w:rPr>
            </w:pPr>
            <w:hyperlink r:id="rId9" w:history="1">
              <w:r w:rsidR="00654E49" w:rsidRPr="006427D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Health and Safety at Work Act 2015</w:t>
              </w:r>
            </w:hyperlink>
          </w:p>
          <w:p w:rsidR="00977F10" w:rsidRPr="006427D6" w:rsidRDefault="001F562C" w:rsidP="00F817A9">
            <w:pPr>
              <w:pStyle w:val="Heading2"/>
              <w:spacing w:before="0"/>
              <w:jc w:val="left"/>
              <w:rPr>
                <w:b w:val="0"/>
                <w:lang w:eastAsia="en-NZ"/>
              </w:rPr>
            </w:pPr>
            <w:hyperlink r:id="rId10" w:history="1">
              <w:r w:rsidR="00977F10" w:rsidRPr="006427D6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Human Rights Act 1993</w:t>
              </w:r>
            </w:hyperlink>
          </w:p>
          <w:p w:rsidR="00D94F5A" w:rsidRPr="006427D6" w:rsidRDefault="001F562C" w:rsidP="00231EB9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hyperlink r:id="rId11" w:history="1">
              <w:r w:rsidR="00D94F5A" w:rsidRPr="006427D6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NZ"/>
                </w:rPr>
                <w:t>New Zealand Bill of Rights Act 1990</w:t>
              </w:r>
            </w:hyperlink>
            <w:r w:rsidR="00D94F5A" w:rsidRPr="006427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</w:t>
            </w:r>
          </w:p>
          <w:p w:rsidR="00D94F5A" w:rsidRPr="006427D6" w:rsidRDefault="001F562C" w:rsidP="00D94F5A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</w:pPr>
            <w:hyperlink r:id="rId12" w:history="1">
              <w:r w:rsidR="00D94F5A" w:rsidRPr="006427D6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NZ"/>
                </w:rPr>
                <w:t>Employment Relations Act 2000</w:t>
              </w:r>
            </w:hyperlink>
            <w:r w:rsidR="00D94F5A" w:rsidRPr="006427D6">
              <w:rPr>
                <w:rFonts w:ascii="Calibri" w:eastAsia="Times New Roman" w:hAnsi="Calibri" w:cs="Calibri"/>
                <w:sz w:val="22"/>
                <w:szCs w:val="22"/>
                <w:lang w:eastAsia="en-NZ"/>
              </w:rPr>
              <w:t xml:space="preserve"> </w:t>
            </w:r>
          </w:p>
          <w:p w:rsidR="00532A69" w:rsidRPr="006427D6" w:rsidRDefault="001F562C" w:rsidP="00FD0F4E">
            <w:pPr>
              <w:pStyle w:val="Heading2"/>
              <w:spacing w:before="0"/>
              <w:jc w:val="left"/>
              <w:rPr>
                <w:lang w:eastAsia="en-NZ"/>
              </w:rPr>
            </w:pPr>
            <w:hyperlink r:id="rId13" w:history="1">
              <w:r w:rsidR="00532A69" w:rsidRPr="006427D6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  <w:lang w:eastAsia="en-NZ"/>
                </w:rPr>
                <w:t>Equal Pay Act 1972</w:t>
              </w:r>
            </w:hyperlink>
          </w:p>
        </w:tc>
      </w:tr>
      <w:tr w:rsidR="001C6BDA" w:rsidRPr="00F817A9" w:rsidTr="009F1B33">
        <w:tc>
          <w:tcPr>
            <w:tcW w:w="1795" w:type="dxa"/>
            <w:shd w:val="clear" w:color="auto" w:fill="F2F2F2"/>
          </w:tcPr>
          <w:p w:rsidR="001C6BDA" w:rsidRDefault="004B0E71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 w:rsidRPr="00F817A9">
              <w:rPr>
                <w:rFonts w:eastAsia="Times New Roman" w:cs="Calibri"/>
                <w:b/>
                <w:lang w:eastAsia="en-NZ"/>
              </w:rPr>
              <w:t>Guidelines</w:t>
            </w:r>
          </w:p>
          <w:p w:rsidR="002D26B5" w:rsidRDefault="002D26B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and</w:t>
            </w:r>
          </w:p>
          <w:p w:rsidR="002D26B5" w:rsidRPr="00F817A9" w:rsidRDefault="002D26B5" w:rsidP="00F817A9">
            <w:pPr>
              <w:jc w:val="left"/>
              <w:rPr>
                <w:rFonts w:eastAsia="Times New Roman" w:cs="Calibri"/>
                <w:b/>
                <w:lang w:eastAsia="en-NZ"/>
              </w:rPr>
            </w:pPr>
            <w:r>
              <w:rPr>
                <w:rFonts w:eastAsia="Times New Roman" w:cs="Calibri"/>
                <w:b/>
                <w:lang w:eastAsia="en-NZ"/>
              </w:rPr>
              <w:t>Standards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275EA6" w:rsidRDefault="00275EA6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r>
              <w:rPr>
                <w:rStyle w:val="Hyperlink"/>
                <w:rFonts w:eastAsia="Times New Roman" w:cs="Calibri"/>
                <w:lang w:eastAsia="en-NZ"/>
              </w:rPr>
              <w:t xml:space="preserve">Disability </w:t>
            </w:r>
            <w:r w:rsidR="00515316">
              <w:rPr>
                <w:rStyle w:val="Hyperlink"/>
                <w:rFonts w:eastAsia="Times New Roman" w:cs="Calibri"/>
                <w:lang w:eastAsia="en-NZ"/>
              </w:rPr>
              <w:t>inclusive development toolkit (2017).CBM.</w:t>
            </w:r>
          </w:p>
          <w:p w:rsidR="001440D4" w:rsidRDefault="001F562C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4" w:history="1">
              <w:r w:rsidR="001440D4" w:rsidRPr="00DB0D76">
                <w:rPr>
                  <w:rStyle w:val="Hyperlink"/>
                  <w:rFonts w:eastAsia="Times New Roman" w:cs="Calibri"/>
                  <w:lang w:eastAsia="en-NZ"/>
                </w:rPr>
                <w:t>Diversity wins. How inclusion matters</w:t>
              </w:r>
              <w:r w:rsidR="001F3B3B" w:rsidRPr="00DB0D76">
                <w:rPr>
                  <w:rStyle w:val="Hyperlink"/>
                  <w:rFonts w:eastAsia="Times New Roman" w:cs="Calibri"/>
                  <w:lang w:eastAsia="en-NZ"/>
                </w:rPr>
                <w:t xml:space="preserve"> (2020). McKinsey</w:t>
              </w:r>
              <w:r w:rsidR="006F5050" w:rsidRPr="00DB0D76">
                <w:rPr>
                  <w:rStyle w:val="Hyperlink"/>
                  <w:rFonts w:eastAsia="Times New Roman" w:cs="Calibri"/>
                  <w:lang w:eastAsia="en-NZ"/>
                </w:rPr>
                <w:t xml:space="preserve"> </w:t>
              </w:r>
              <w:r w:rsidR="001F3B3B" w:rsidRPr="00DB0D76">
                <w:rPr>
                  <w:rStyle w:val="Hyperlink"/>
                  <w:rFonts w:eastAsia="Times New Roman" w:cs="Calibri"/>
                  <w:lang w:eastAsia="en-NZ"/>
                </w:rPr>
                <w:t>&amp;Company</w:t>
              </w:r>
            </w:hyperlink>
          </w:p>
          <w:p w:rsidR="009D6A26" w:rsidRPr="006427D6" w:rsidRDefault="001F562C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5" w:history="1">
              <w:r w:rsidR="009D6A26" w:rsidRPr="006427D6">
                <w:rPr>
                  <w:rStyle w:val="Hyperlink"/>
                  <w:rFonts w:eastAsia="Times New Roman" w:cs="Calibri"/>
                  <w:lang w:eastAsia="en-NZ"/>
                </w:rPr>
                <w:t>Diversity Works NZ</w:t>
              </w:r>
            </w:hyperlink>
          </w:p>
          <w:p w:rsidR="008E01CA" w:rsidRPr="006427D6" w:rsidRDefault="001F562C" w:rsidP="00F817A9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6" w:anchor="equalemp" w:history="1">
              <w:r w:rsidR="008E01CA" w:rsidRPr="006427D6">
                <w:rPr>
                  <w:rStyle w:val="Hyperlink"/>
                  <w:rFonts w:eastAsia="Times New Roman" w:cs="Calibri"/>
                  <w:lang w:eastAsia="en-NZ"/>
                </w:rPr>
                <w:t>Human Right’s Commission resources</w:t>
              </w:r>
            </w:hyperlink>
          </w:p>
          <w:p w:rsidR="002D26B5" w:rsidRPr="006427D6" w:rsidRDefault="001F562C" w:rsidP="002D26B5">
            <w:pPr>
              <w:tabs>
                <w:tab w:val="left" w:pos="597"/>
              </w:tabs>
              <w:jc w:val="both"/>
              <w:rPr>
                <w:rFonts w:eastAsia="Times New Roman" w:cs="Calibri"/>
                <w:lang w:eastAsia="en-NZ"/>
              </w:rPr>
            </w:pPr>
            <w:hyperlink r:id="rId17" w:history="1">
              <w:r w:rsidR="002D26B5" w:rsidRPr="006427D6">
                <w:rPr>
                  <w:rStyle w:val="Hyperlink"/>
                </w:rPr>
                <w:t xml:space="preserve">NZS 8200:2015 </w:t>
              </w:r>
              <w:r w:rsidR="002D26B5" w:rsidRPr="006427D6">
                <w:rPr>
                  <w:rStyle w:val="Hyperlink"/>
                  <w:rFonts w:asciiTheme="minorHAnsi" w:eastAsia="Times New Roman" w:hAnsiTheme="minorHAnsi" w:cstheme="minorHAnsi"/>
                  <w:lang w:eastAsia="en-NZ"/>
                </w:rPr>
                <w:t>Rainbow-inclusive workplaces: A standard for gender and sexual diversity in employment</w:t>
              </w:r>
            </w:hyperlink>
          </w:p>
          <w:p w:rsidR="007B4115" w:rsidRPr="006427D6" w:rsidRDefault="001F562C" w:rsidP="001C793E">
            <w:pPr>
              <w:jc w:val="left"/>
              <w:rPr>
                <w:rStyle w:val="Hyperlink"/>
                <w:rFonts w:eastAsia="Times New Roman" w:cs="Calibri"/>
                <w:lang w:eastAsia="en-NZ"/>
              </w:rPr>
            </w:pPr>
            <w:hyperlink r:id="rId18" w:history="1">
              <w:r w:rsidR="006611D6" w:rsidRPr="006427D6">
                <w:rPr>
                  <w:rStyle w:val="Hyperlink"/>
                  <w:rFonts w:eastAsia="Times New Roman" w:cs="Calibri"/>
                  <w:lang w:eastAsia="en-NZ"/>
                </w:rPr>
                <w:t>Tracking equality at work, national equal opportunity network</w:t>
              </w:r>
            </w:hyperlink>
          </w:p>
          <w:p w:rsidR="00E1255D" w:rsidRPr="006427D6" w:rsidRDefault="001F562C" w:rsidP="001C793E">
            <w:pPr>
              <w:jc w:val="left"/>
              <w:rPr>
                <w:rFonts w:eastAsia="Times New Roman" w:cs="Calibri"/>
                <w:lang w:eastAsia="en-NZ"/>
              </w:rPr>
            </w:pPr>
            <w:hyperlink r:id="rId19" w:history="1">
              <w:r w:rsidR="00E1255D" w:rsidRPr="006427D6">
                <w:rPr>
                  <w:rStyle w:val="Hyperlink"/>
                </w:rPr>
                <w:t>Workplace Diversity Case Model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263878" w:rsidTr="007A0B5B">
        <w:tc>
          <w:tcPr>
            <w:tcW w:w="9771" w:type="dxa"/>
            <w:gridSpan w:val="2"/>
            <w:shd w:val="clear" w:color="auto" w:fill="9CC2E5" w:themeFill="accent1" w:themeFillTint="99"/>
          </w:tcPr>
          <w:p w:rsidR="00263878" w:rsidRDefault="00FC4718" w:rsidP="00D15B94">
            <w:pPr>
              <w:pStyle w:val="Normal1"/>
              <w:numPr>
                <w:ilvl w:val="0"/>
                <w:numId w:val="0"/>
              </w:numPr>
              <w:rPr>
                <w:rStyle w:val="Hyperlink"/>
                <w:rFonts w:ascii="Calibri" w:hAnsi="Calibri"/>
                <w:b/>
                <w:color w:val="auto"/>
                <w:u w:val="none"/>
              </w:rPr>
            </w:pPr>
            <w:r w:rsidRPr="00FC4718">
              <w:rPr>
                <w:rStyle w:val="Hyperlink"/>
                <w:rFonts w:ascii="Calibri" w:hAnsi="Calibri"/>
                <w:b/>
                <w:color w:val="auto"/>
                <w:u w:val="none"/>
              </w:rPr>
              <w:lastRenderedPageBreak/>
              <w:t>The inclusion and diversity principles explained</w:t>
            </w:r>
            <w:r w:rsidR="006F5050">
              <w:rPr>
                <w:rStyle w:val="Hyperlink"/>
                <w:rFonts w:ascii="Calibri" w:hAnsi="Calibri"/>
                <w:b/>
                <w:color w:val="auto"/>
                <w:u w:val="none"/>
              </w:rPr>
              <w:t xml:space="preserve"> (adapted from McKinsey &amp;Company)</w:t>
            </w:r>
          </w:p>
          <w:p w:rsidR="00CA0CAC" w:rsidRDefault="00CA0CAC" w:rsidP="00CA0CAC">
            <w:pPr>
              <w:pStyle w:val="Normal1"/>
              <w:numPr>
                <w:ilvl w:val="0"/>
                <w:numId w:val="0"/>
              </w:numPr>
              <w:jc w:val="center"/>
              <w:rPr>
                <w:rStyle w:val="Hyperlink"/>
                <w:rFonts w:ascii="Calibri" w:hAnsi="Calibri"/>
                <w:b/>
                <w:color w:val="auto"/>
                <w:u w:val="none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3409950" cy="1571625"/>
                  <wp:effectExtent l="0" t="0" r="0" b="9525"/>
                  <wp:docPr id="5" name="Picture 5" descr="Diversity / Workforce D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versity / Workforce D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718" w:rsidRPr="00FC4718" w:rsidRDefault="00FC4718" w:rsidP="00FC4718">
            <w:pPr>
              <w:pStyle w:val="Default"/>
            </w:pPr>
          </w:p>
        </w:tc>
      </w:tr>
      <w:tr w:rsidR="00FC4718" w:rsidTr="007A0B5B">
        <w:tc>
          <w:tcPr>
            <w:tcW w:w="2830" w:type="dxa"/>
            <w:shd w:val="clear" w:color="auto" w:fill="BDD6EE" w:themeFill="accent1" w:themeFillTint="66"/>
          </w:tcPr>
          <w:p w:rsidR="00FC4718" w:rsidRPr="00096D3D" w:rsidRDefault="00FC4718" w:rsidP="005C3105">
            <w:pPr>
              <w:jc w:val="left"/>
              <w:rPr>
                <w:rStyle w:val="Hyperlink"/>
                <w:rFonts w:ascii="Calibri" w:hAnsi="Calibri" w:cs="Calibri"/>
                <w:color w:val="auto"/>
              </w:rPr>
            </w:pPr>
            <w:r w:rsidRPr="00096D3D">
              <w:rPr>
                <w:rFonts w:ascii="Calibri" w:hAnsi="Calibri" w:cs="Calibri"/>
              </w:rPr>
              <w:t>We establish a sense of belonging for everyone.</w:t>
            </w:r>
          </w:p>
        </w:tc>
        <w:tc>
          <w:tcPr>
            <w:tcW w:w="6941" w:type="dxa"/>
          </w:tcPr>
          <w:p w:rsidR="00DD4A3C" w:rsidRPr="00D15B94" w:rsidRDefault="00DD4A3C" w:rsidP="001D66E9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15B94">
              <w:rPr>
                <w:rFonts w:ascii="Calibri" w:hAnsi="Calibri"/>
              </w:rPr>
              <w:t>We enable our staff to bring their best self forward.</w:t>
            </w:r>
          </w:p>
          <w:p w:rsidR="00DD4A3C" w:rsidRPr="00D15B94" w:rsidRDefault="00DD4A3C" w:rsidP="001D66E9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15B94">
              <w:rPr>
                <w:rFonts w:ascii="Calibri" w:hAnsi="Calibri"/>
              </w:rPr>
              <w:t xml:space="preserve">We acknowledge that a sense of belonging is the first step toward this. </w:t>
            </w:r>
          </w:p>
          <w:p w:rsidR="00DD4A3C" w:rsidRPr="00D15B94" w:rsidRDefault="00DD4A3C" w:rsidP="001D66E9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15B94">
              <w:rPr>
                <w:rFonts w:ascii="Calibri" w:hAnsi="Calibri"/>
              </w:rPr>
              <w:t xml:space="preserve">We know that </w:t>
            </w:r>
            <w:r w:rsidR="006A2750" w:rsidRPr="00D15B94">
              <w:rPr>
                <w:rFonts w:ascii="Calibri" w:hAnsi="Calibri"/>
              </w:rPr>
              <w:t xml:space="preserve">staff who experience </w:t>
            </w:r>
            <w:r w:rsidRPr="00D15B94">
              <w:rPr>
                <w:rFonts w:ascii="Calibri" w:hAnsi="Calibri"/>
              </w:rPr>
              <w:t xml:space="preserve">a connection with our organisation </w:t>
            </w:r>
            <w:r w:rsidR="006A2750" w:rsidRPr="00D15B94">
              <w:rPr>
                <w:rFonts w:ascii="Calibri" w:hAnsi="Calibri"/>
              </w:rPr>
              <w:t xml:space="preserve">and </w:t>
            </w:r>
            <w:r w:rsidRPr="00D15B94">
              <w:rPr>
                <w:rFonts w:ascii="Calibri" w:hAnsi="Calibri"/>
              </w:rPr>
              <w:t xml:space="preserve">groups of people </w:t>
            </w:r>
            <w:r w:rsidR="006A2750" w:rsidRPr="00D15B94">
              <w:rPr>
                <w:rFonts w:ascii="Calibri" w:hAnsi="Calibri"/>
              </w:rPr>
              <w:t xml:space="preserve">within </w:t>
            </w:r>
            <w:r w:rsidR="00B72B43">
              <w:rPr>
                <w:rFonts w:ascii="Calibri" w:hAnsi="Calibri"/>
              </w:rPr>
              <w:t xml:space="preserve">it </w:t>
            </w:r>
            <w:r w:rsidRPr="00D15B94">
              <w:rPr>
                <w:rFonts w:ascii="Calibri" w:hAnsi="Calibri"/>
              </w:rPr>
              <w:t xml:space="preserve">enables </w:t>
            </w:r>
            <w:r w:rsidR="006A2750" w:rsidRPr="00D15B94">
              <w:rPr>
                <w:rFonts w:ascii="Calibri" w:hAnsi="Calibri"/>
              </w:rPr>
              <w:t>them to</w:t>
            </w:r>
            <w:r w:rsidRPr="00D15B94">
              <w:rPr>
                <w:rFonts w:ascii="Calibri" w:hAnsi="Calibri"/>
              </w:rPr>
              <w:t xml:space="preserve"> be themselves.</w:t>
            </w:r>
          </w:p>
          <w:p w:rsidR="00DD4A3C" w:rsidRPr="00D15B94" w:rsidRDefault="00DD4A3C" w:rsidP="001D66E9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15B94">
              <w:rPr>
                <w:rFonts w:ascii="Calibri" w:hAnsi="Calibri"/>
              </w:rPr>
              <w:t xml:space="preserve">A sense of belonging results in greater engagement and creativity in the workplace. </w:t>
            </w:r>
          </w:p>
          <w:p w:rsidR="00FC4718" w:rsidRPr="00E75CB5" w:rsidRDefault="001211A6" w:rsidP="001D66E9">
            <w:pPr>
              <w:pStyle w:val="Normal1"/>
              <w:numPr>
                <w:ilvl w:val="0"/>
                <w:numId w:val="3"/>
              </w:numPr>
              <w:rPr>
                <w:rFonts w:ascii="Calibri" w:hAnsi="Calibri"/>
                <w:u w:val="single"/>
              </w:rPr>
            </w:pPr>
            <w:r w:rsidRPr="00D15B94">
              <w:rPr>
                <w:rFonts w:ascii="Calibri" w:hAnsi="Calibri"/>
              </w:rPr>
              <w:t>We acknowledge t</w:t>
            </w:r>
            <w:r w:rsidR="00DD4A3C" w:rsidRPr="00D15B94">
              <w:rPr>
                <w:rFonts w:ascii="Calibri" w:hAnsi="Calibri"/>
              </w:rPr>
              <w:t>o belong is a psychological need.</w:t>
            </w:r>
          </w:p>
          <w:p w:rsidR="00E75CB5" w:rsidRPr="00D15B94" w:rsidRDefault="00E75CB5" w:rsidP="00E75CB5">
            <w:pPr>
              <w:pStyle w:val="Normal1"/>
              <w:numPr>
                <w:ilvl w:val="0"/>
                <w:numId w:val="0"/>
              </w:numPr>
              <w:rPr>
                <w:rStyle w:val="Hyperlink"/>
                <w:rFonts w:ascii="Calibri" w:hAnsi="Calibri"/>
                <w:color w:val="auto"/>
              </w:rPr>
            </w:pPr>
          </w:p>
        </w:tc>
      </w:tr>
      <w:tr w:rsidR="00FC4718" w:rsidTr="00C00301">
        <w:trPr>
          <w:trHeight w:val="2659"/>
        </w:trPr>
        <w:tc>
          <w:tcPr>
            <w:tcW w:w="2830" w:type="dxa"/>
          </w:tcPr>
          <w:p w:rsidR="00FC4718" w:rsidRPr="00FC4718" w:rsidRDefault="00FC4718" w:rsidP="00FC4718">
            <w:pPr>
              <w:jc w:val="left"/>
              <w:rPr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We provide empathetic leadership.</w:t>
            </w:r>
          </w:p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6941" w:type="dxa"/>
            <w:shd w:val="clear" w:color="auto" w:fill="BDD6EE" w:themeFill="accent1" w:themeFillTint="66"/>
          </w:tcPr>
          <w:p w:rsidR="001440D4" w:rsidRPr="00D15B94" w:rsidRDefault="00CE7E1E" w:rsidP="001D66E9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15B94">
              <w:rPr>
                <w:rStyle w:val="normalChar"/>
                <w:rFonts w:ascii="Calibri" w:hAnsi="Calibri"/>
              </w:rPr>
              <w:t>For real diversity and inclusiveness to happen, every individual leader needs to buy into the value of belonging — both intellectually and emotionally.</w:t>
            </w:r>
            <w:r w:rsidRPr="00D15B94">
              <w:rPr>
                <w:rFonts w:ascii="Calibri" w:hAnsi="Calibri" w:cs="Calibri"/>
              </w:rPr>
              <w:t xml:space="preserve"> </w:t>
            </w:r>
          </w:p>
          <w:p w:rsidR="00D15B94" w:rsidRPr="00D15B94" w:rsidRDefault="001211A6" w:rsidP="001D66E9">
            <w:pPr>
              <w:pStyle w:val="NormalWeb"/>
              <w:numPr>
                <w:ilvl w:val="0"/>
                <w:numId w:val="4"/>
              </w:numPr>
              <w:rPr>
                <w:rFonts w:ascii="Calibri" w:hAnsi="Calibri" w:cs="Calibri"/>
                <w:i/>
                <w:sz w:val="22"/>
                <w:szCs w:val="22"/>
                <w:shd w:val="clear" w:color="auto" w:fill="9CC2E5" w:themeFill="accent1" w:themeFillTint="99"/>
              </w:rPr>
            </w:pPr>
            <w:r w:rsidRPr="00D15B94">
              <w:rPr>
                <w:rFonts w:ascii="Calibri" w:hAnsi="Calibri" w:cs="Calibri"/>
                <w:sz w:val="22"/>
                <w:szCs w:val="22"/>
              </w:rPr>
              <w:t xml:space="preserve">Only when our leaders step </w:t>
            </w:r>
            <w:r w:rsidR="00CE7E1E" w:rsidRPr="00D15B94">
              <w:rPr>
                <w:rFonts w:ascii="Calibri" w:hAnsi="Calibri" w:cs="Calibri"/>
                <w:sz w:val="22"/>
                <w:szCs w:val="22"/>
              </w:rPr>
              <w:t xml:space="preserve">up to own diversity and inclusion will </w:t>
            </w:r>
            <w:r w:rsidRPr="00D15B94">
              <w:rPr>
                <w:rFonts w:ascii="Calibri" w:hAnsi="Calibri" w:cs="Calibri"/>
                <w:sz w:val="22"/>
                <w:szCs w:val="22"/>
              </w:rPr>
              <w:t xml:space="preserve">our diversity and inclusion </w:t>
            </w:r>
            <w:r w:rsidR="00CE7E1E" w:rsidRPr="00D15B94">
              <w:rPr>
                <w:rFonts w:ascii="Calibri" w:hAnsi="Calibri" w:cs="Calibri"/>
                <w:sz w:val="22"/>
                <w:szCs w:val="22"/>
              </w:rPr>
              <w:t>practices thrive.</w:t>
            </w:r>
          </w:p>
          <w:p w:rsidR="00E75CB5" w:rsidRPr="00D15B94" w:rsidRDefault="00D15B94" w:rsidP="00C00301">
            <w:pPr>
              <w:pStyle w:val="NormalWeb"/>
              <w:jc w:val="center"/>
              <w:rPr>
                <w:rStyle w:val="Hyperlink"/>
                <w:rFonts w:ascii="Calibri" w:hAnsi="Calibri" w:cs="Calibri"/>
              </w:rPr>
            </w:pPr>
            <w:r w:rsidRPr="00C00301">
              <w:rPr>
                <w:rFonts w:ascii="Calibri" w:hAnsi="Calibri" w:cs="Calibri"/>
                <w:i/>
                <w:sz w:val="22"/>
                <w:szCs w:val="22"/>
                <w:shd w:val="clear" w:color="auto" w:fill="9CC2E5" w:themeFill="accent1" w:themeFillTint="99"/>
              </w:rPr>
              <w:t>“You have to make sure leaders are equipped to make the story their own, feel it within themselves and be able to explain why they care; why it matters, and why it should matter to their direct reports.”</w:t>
            </w:r>
            <w:r w:rsidR="00B72B43" w:rsidRPr="00C00301">
              <w:rPr>
                <w:rFonts w:ascii="Calibri" w:hAnsi="Calibri" w:cs="Calibri"/>
                <w:i/>
                <w:sz w:val="22"/>
                <w:szCs w:val="22"/>
                <w:shd w:val="clear" w:color="auto" w:fill="9CC2E5" w:themeFill="accent1" w:themeFillTint="99"/>
              </w:rPr>
              <w:t>(McKinsey &amp; Co)</w:t>
            </w:r>
          </w:p>
        </w:tc>
      </w:tr>
      <w:tr w:rsidR="00FC4718" w:rsidTr="007A0B5B">
        <w:tc>
          <w:tcPr>
            <w:tcW w:w="2830" w:type="dxa"/>
            <w:shd w:val="clear" w:color="auto" w:fill="BDD6EE" w:themeFill="accent1" w:themeFillTint="66"/>
          </w:tcPr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Top-down approaches drive compliance, not commitment.</w:t>
            </w:r>
          </w:p>
        </w:tc>
        <w:tc>
          <w:tcPr>
            <w:tcW w:w="6941" w:type="dxa"/>
          </w:tcPr>
          <w:p w:rsidR="00DB0D76" w:rsidRPr="00BD139C" w:rsidRDefault="008C39B6" w:rsidP="001D66E9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D139C">
              <w:rPr>
                <w:rFonts w:asciiTheme="minorHAnsi" w:hAnsiTheme="minorHAnsi" w:cstheme="minorHAnsi"/>
              </w:rPr>
              <w:t>We put processes in place that</w:t>
            </w:r>
            <w:r w:rsidR="00042B0C" w:rsidRPr="00BD139C">
              <w:rPr>
                <w:rFonts w:asciiTheme="minorHAnsi" w:hAnsiTheme="minorHAnsi" w:cstheme="minorHAnsi"/>
              </w:rPr>
              <w:t xml:space="preserve"> ensure -</w:t>
            </w:r>
            <w:r w:rsidRPr="00BD139C">
              <w:rPr>
                <w:rFonts w:asciiTheme="minorHAnsi" w:hAnsiTheme="minorHAnsi" w:cstheme="minorHAnsi"/>
              </w:rPr>
              <w:t xml:space="preserve"> f</w:t>
            </w:r>
            <w:r w:rsidR="00DB0D76" w:rsidRPr="00BD139C">
              <w:rPr>
                <w:rFonts w:asciiTheme="minorHAnsi" w:hAnsiTheme="minorHAnsi" w:cstheme="minorHAnsi"/>
              </w:rPr>
              <w:t>rom our senior lea</w:t>
            </w:r>
            <w:r w:rsidR="00042B0C" w:rsidRPr="00BD139C">
              <w:rPr>
                <w:rFonts w:asciiTheme="minorHAnsi" w:hAnsiTheme="minorHAnsi" w:cstheme="minorHAnsi"/>
              </w:rPr>
              <w:t>ders to our frontline employees -</w:t>
            </w:r>
            <w:r w:rsidR="00DB0D76" w:rsidRPr="00BD139C">
              <w:rPr>
                <w:rFonts w:asciiTheme="minorHAnsi" w:hAnsiTheme="minorHAnsi" w:cstheme="minorHAnsi"/>
              </w:rPr>
              <w:t xml:space="preserve"> every individual </w:t>
            </w:r>
            <w:r w:rsidRPr="00BD139C">
              <w:rPr>
                <w:rFonts w:asciiTheme="minorHAnsi" w:hAnsiTheme="minorHAnsi" w:cstheme="minorHAnsi"/>
              </w:rPr>
              <w:t xml:space="preserve">will </w:t>
            </w:r>
            <w:r w:rsidR="00DB0D76" w:rsidRPr="00BD139C">
              <w:rPr>
                <w:rFonts w:asciiTheme="minorHAnsi" w:hAnsiTheme="minorHAnsi" w:cstheme="minorHAnsi"/>
              </w:rPr>
              <w:t xml:space="preserve">see and understand their role in </w:t>
            </w:r>
            <w:r w:rsidRPr="00BD139C">
              <w:rPr>
                <w:rFonts w:asciiTheme="minorHAnsi" w:hAnsiTheme="minorHAnsi" w:cstheme="minorHAnsi"/>
              </w:rPr>
              <w:t>our organisation</w:t>
            </w:r>
            <w:r w:rsidR="00042B0C" w:rsidRPr="00BD139C">
              <w:rPr>
                <w:rFonts w:asciiTheme="minorHAnsi" w:hAnsiTheme="minorHAnsi" w:cstheme="minorHAnsi"/>
              </w:rPr>
              <w:t xml:space="preserve"> and its </w:t>
            </w:r>
            <w:r w:rsidR="00DB0D76" w:rsidRPr="00BD139C">
              <w:rPr>
                <w:rFonts w:asciiTheme="minorHAnsi" w:hAnsiTheme="minorHAnsi" w:cstheme="minorHAnsi"/>
              </w:rPr>
              <w:t xml:space="preserve">culture. </w:t>
            </w:r>
          </w:p>
          <w:p w:rsidR="00042B0C" w:rsidRPr="00D15B94" w:rsidRDefault="008C39B6" w:rsidP="001D66E9">
            <w:pPr>
              <w:pStyle w:val="Normal1"/>
              <w:numPr>
                <w:ilvl w:val="0"/>
                <w:numId w:val="5"/>
              </w:numPr>
              <w:rPr>
                <w:rFonts w:asciiTheme="minorHAnsi" w:hAnsiTheme="minorHAnsi" w:cstheme="minorHAnsi"/>
                <w:u w:val="single"/>
              </w:rPr>
            </w:pPr>
            <w:r w:rsidRPr="00BD139C">
              <w:rPr>
                <w:rFonts w:asciiTheme="minorHAnsi" w:hAnsiTheme="minorHAnsi" w:cstheme="minorHAnsi"/>
              </w:rPr>
              <w:t xml:space="preserve">All of us will learn to </w:t>
            </w:r>
            <w:r w:rsidR="00DB0D76" w:rsidRPr="00BD139C">
              <w:rPr>
                <w:rFonts w:asciiTheme="minorHAnsi" w:hAnsiTheme="minorHAnsi" w:cstheme="minorHAnsi"/>
              </w:rPr>
              <w:t>identify</w:t>
            </w:r>
            <w:r w:rsidRPr="00BD139C">
              <w:rPr>
                <w:rFonts w:asciiTheme="minorHAnsi" w:hAnsiTheme="minorHAnsi" w:cstheme="minorHAnsi"/>
              </w:rPr>
              <w:t xml:space="preserve"> the</w:t>
            </w:r>
            <w:r w:rsidR="00DB0D76" w:rsidRPr="00BD139C">
              <w:rPr>
                <w:rFonts w:asciiTheme="minorHAnsi" w:hAnsiTheme="minorHAnsi" w:cstheme="minorHAnsi"/>
              </w:rPr>
              <w:t xml:space="preserve"> differences in employee experience and values across the organization so that change can be made</w:t>
            </w:r>
            <w:r w:rsidR="00DB0D76" w:rsidRPr="00D15B94">
              <w:rPr>
                <w:rFonts w:asciiTheme="minorHAnsi" w:hAnsiTheme="minorHAnsi" w:cstheme="minorHAnsi"/>
              </w:rPr>
              <w:t xml:space="preserve"> relevant for each person</w:t>
            </w:r>
            <w:r w:rsidR="00042B0C" w:rsidRPr="00D15B94">
              <w:rPr>
                <w:rFonts w:asciiTheme="minorHAnsi" w:hAnsiTheme="minorHAnsi" w:cstheme="minorHAnsi"/>
              </w:rPr>
              <w:t>.</w:t>
            </w:r>
          </w:p>
          <w:p w:rsidR="00FC4718" w:rsidRPr="00CA0CAC" w:rsidRDefault="00042B0C" w:rsidP="001D66E9">
            <w:pPr>
              <w:pStyle w:val="Normal1"/>
              <w:numPr>
                <w:ilvl w:val="0"/>
                <w:numId w:val="5"/>
              </w:numPr>
              <w:rPr>
                <w:color w:val="0000FF"/>
                <w:u w:val="single"/>
              </w:rPr>
            </w:pPr>
            <w:r w:rsidRPr="00D15B94">
              <w:rPr>
                <w:rFonts w:asciiTheme="minorHAnsi" w:hAnsiTheme="minorHAnsi" w:cstheme="minorHAnsi"/>
              </w:rPr>
              <w:t>We</w:t>
            </w:r>
            <w:r w:rsidR="00DB0D76" w:rsidRPr="00D15B94">
              <w:rPr>
                <w:rFonts w:asciiTheme="minorHAnsi" w:hAnsiTheme="minorHAnsi" w:cstheme="minorHAnsi"/>
              </w:rPr>
              <w:t xml:space="preserve"> know that lasting change must activate different parts of the system — top down, bottom up, and middle out — in different ways.</w:t>
            </w:r>
            <w:r w:rsidR="00DB0D76" w:rsidRPr="00042B0C">
              <w:t> </w:t>
            </w:r>
          </w:p>
          <w:p w:rsidR="00CA0CAC" w:rsidRDefault="00CA0CAC" w:rsidP="00CA0CAC">
            <w:pPr>
              <w:pStyle w:val="Normal1"/>
              <w:numPr>
                <w:ilvl w:val="0"/>
                <w:numId w:val="0"/>
              </w:numPr>
              <w:rPr>
                <w:rStyle w:val="Hyperlink"/>
              </w:rPr>
            </w:pPr>
          </w:p>
        </w:tc>
      </w:tr>
    </w:tbl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5C4100" w:rsidRDefault="005C4100"/>
    <w:p w:rsidR="00C00301" w:rsidRDefault="00C00301"/>
    <w:p w:rsidR="005C4100" w:rsidRDefault="005C4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5C4100" w:rsidTr="005C4100">
        <w:tc>
          <w:tcPr>
            <w:tcW w:w="9771" w:type="dxa"/>
            <w:gridSpan w:val="2"/>
            <w:shd w:val="clear" w:color="auto" w:fill="9CC2E5" w:themeFill="accent1" w:themeFillTint="99"/>
          </w:tcPr>
          <w:p w:rsidR="005C4100" w:rsidRPr="005C4100" w:rsidRDefault="005C4100" w:rsidP="005C4100">
            <w:pPr>
              <w:pStyle w:val="Normal1"/>
              <w:numPr>
                <w:ilvl w:val="0"/>
                <w:numId w:val="0"/>
              </w:numPr>
              <w:rPr>
                <w:rFonts w:ascii="Calibri" w:hAnsi="Calibri"/>
                <w:b/>
              </w:rPr>
            </w:pPr>
            <w:r w:rsidRPr="005C4100">
              <w:rPr>
                <w:rFonts w:ascii="Calibri" w:hAnsi="Calibri"/>
                <w:b/>
              </w:rPr>
              <w:lastRenderedPageBreak/>
              <w:t xml:space="preserve">Principles </w:t>
            </w:r>
            <w:r w:rsidRPr="005C4100">
              <w:rPr>
                <w:rFonts w:ascii="Calibri" w:hAnsi="Calibri"/>
                <w:i/>
              </w:rPr>
              <w:t>cont.</w:t>
            </w:r>
          </w:p>
        </w:tc>
      </w:tr>
      <w:tr w:rsidR="00FC4718" w:rsidTr="007A0B5B">
        <w:tc>
          <w:tcPr>
            <w:tcW w:w="2830" w:type="dxa"/>
          </w:tcPr>
          <w:p w:rsidR="00FC4718" w:rsidRPr="00FC4718" w:rsidRDefault="00FC4718" w:rsidP="00FC4718">
            <w:pPr>
              <w:pStyle w:val="Heading2"/>
              <w:spacing w:before="0"/>
              <w:jc w:val="left"/>
              <w:outlineLvl w:val="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FC4718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Quotas don’t automate inclusion.</w:t>
            </w:r>
          </w:p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</w:p>
        </w:tc>
        <w:tc>
          <w:tcPr>
            <w:tcW w:w="6941" w:type="dxa"/>
            <w:shd w:val="clear" w:color="auto" w:fill="BDD6EE" w:themeFill="accent1" w:themeFillTint="66"/>
          </w:tcPr>
          <w:p w:rsidR="00042B0C" w:rsidRPr="00042B0C" w:rsidRDefault="00042B0C" w:rsidP="00042B0C">
            <w:pPr>
              <w:pStyle w:val="Normal1"/>
              <w:rPr>
                <w:rFonts w:ascii="Calibri" w:hAnsi="Calibri"/>
              </w:rPr>
            </w:pPr>
            <w:r w:rsidRPr="00042B0C">
              <w:rPr>
                <w:rFonts w:ascii="Calibri" w:hAnsi="Calibri"/>
              </w:rPr>
              <w:t xml:space="preserve">Hiring goals may boost diversity numbers, however we are aware that this won’t automatically create an inclusive culture. </w:t>
            </w:r>
          </w:p>
          <w:p w:rsidR="00042B0C" w:rsidRPr="00042B0C" w:rsidRDefault="004037DD" w:rsidP="00042B0C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order for us t</w:t>
            </w:r>
            <w:r w:rsidR="00042B0C" w:rsidRPr="00042B0C">
              <w:rPr>
                <w:rFonts w:ascii="Calibri" w:hAnsi="Calibri"/>
              </w:rPr>
              <w:t xml:space="preserve">o retain and nurture top talent, </w:t>
            </w:r>
            <w:r>
              <w:rPr>
                <w:rFonts w:ascii="Calibri" w:hAnsi="Calibri"/>
              </w:rPr>
              <w:t xml:space="preserve">we will </w:t>
            </w:r>
            <w:r w:rsidR="00042B0C" w:rsidRPr="00042B0C">
              <w:rPr>
                <w:rFonts w:ascii="Calibri" w:hAnsi="Calibri"/>
              </w:rPr>
              <w:t>take an honest look at the end-to-end employee experience, with an eye toward creating conditions that promote inclusion on a daily basis and designing ways to measure the impact.</w:t>
            </w:r>
          </w:p>
          <w:p w:rsidR="00042B0C" w:rsidRDefault="006328E7" w:rsidP="006328E7">
            <w:pPr>
              <w:pStyle w:val="Normal1"/>
              <w:rPr>
                <w:rFonts w:ascii="Calibri" w:hAnsi="Calibri"/>
              </w:rPr>
            </w:pPr>
            <w:r w:rsidRPr="006328E7">
              <w:rPr>
                <w:rFonts w:ascii="Calibri" w:hAnsi="Calibri"/>
              </w:rPr>
              <w:t xml:space="preserve">We will implement </w:t>
            </w:r>
            <w:r w:rsidR="00042B0C" w:rsidRPr="006328E7">
              <w:rPr>
                <w:rFonts w:ascii="Calibri" w:hAnsi="Calibri"/>
              </w:rPr>
              <w:t xml:space="preserve">processes to scale diverse and </w:t>
            </w:r>
            <w:r w:rsidR="00D9382E">
              <w:rPr>
                <w:rFonts w:ascii="Calibri" w:hAnsi="Calibri"/>
              </w:rPr>
              <w:t xml:space="preserve">inclusive behaviors. </w:t>
            </w:r>
          </w:p>
          <w:p w:rsidR="00D9382E" w:rsidRDefault="00D9382E" w:rsidP="006328E7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will ask ourselves whether we have created conditions where every person can contribute in their unique, meaningful way and feel safe and secure doing that. </w:t>
            </w:r>
          </w:p>
          <w:p w:rsidR="00D9382E" w:rsidRDefault="00D9382E" w:rsidP="006328E7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D60597">
              <w:rPr>
                <w:rFonts w:ascii="Calibri" w:hAnsi="Calibri"/>
              </w:rPr>
              <w:t>e will make an effort to und</w:t>
            </w:r>
            <w:r>
              <w:rPr>
                <w:rFonts w:ascii="Calibri" w:hAnsi="Calibri"/>
              </w:rPr>
              <w:t xml:space="preserve">erstand how the teams work best. </w:t>
            </w:r>
          </w:p>
          <w:p w:rsidR="00D9382E" w:rsidRDefault="00D9382E" w:rsidP="006328E7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recognise that sometimes the easy and fast way is not necessarily the right way.</w:t>
            </w:r>
          </w:p>
          <w:p w:rsidR="00FC4718" w:rsidRDefault="00263471" w:rsidP="00263471">
            <w:pPr>
              <w:pStyle w:val="Normal1"/>
              <w:rPr>
                <w:rStyle w:val="Hyperlink"/>
              </w:rPr>
            </w:pPr>
            <w:r>
              <w:rPr>
                <w:rFonts w:ascii="Calibri" w:hAnsi="Calibri"/>
              </w:rPr>
              <w:t xml:space="preserve">We foster </w:t>
            </w:r>
            <w:r w:rsidR="00B72B43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healthy and stimulating exchange of every person’s ideas.</w:t>
            </w:r>
          </w:p>
        </w:tc>
      </w:tr>
      <w:tr w:rsidR="00FC4718" w:rsidTr="007A0B5B">
        <w:tc>
          <w:tcPr>
            <w:tcW w:w="2830" w:type="dxa"/>
            <w:shd w:val="clear" w:color="auto" w:fill="BDD6EE" w:themeFill="accent1" w:themeFillTint="66"/>
          </w:tcPr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Inclusion is ongoing – not a one-off training.</w:t>
            </w:r>
          </w:p>
        </w:tc>
        <w:tc>
          <w:tcPr>
            <w:tcW w:w="6941" w:type="dxa"/>
          </w:tcPr>
          <w:p w:rsidR="00FC4718" w:rsidRPr="007A0B5B" w:rsidRDefault="00D60597" w:rsidP="00D60597">
            <w:pPr>
              <w:pStyle w:val="Normal1"/>
              <w:rPr>
                <w:color w:val="0000FF"/>
                <w:u w:val="single"/>
              </w:rPr>
            </w:pPr>
            <w:r>
              <w:rPr>
                <w:rFonts w:ascii="Calibri" w:hAnsi="Calibri"/>
              </w:rPr>
              <w:t xml:space="preserve">We not only teach employees what it means to be inclusive. We support our workforce to </w:t>
            </w:r>
            <w:r w:rsidR="00A22222">
              <w:rPr>
                <w:rFonts w:ascii="Calibri" w:hAnsi="Calibri"/>
              </w:rPr>
              <w:t xml:space="preserve">daily </w:t>
            </w:r>
            <w:r>
              <w:rPr>
                <w:rFonts w:ascii="Calibri" w:hAnsi="Calibri"/>
              </w:rPr>
              <w:t>practice and behave in an inclusive way.</w:t>
            </w:r>
          </w:p>
          <w:p w:rsidR="007A0B5B" w:rsidRDefault="007A0B5B" w:rsidP="007A0B5B">
            <w:pPr>
              <w:pStyle w:val="Normal1"/>
              <w:numPr>
                <w:ilvl w:val="0"/>
                <w:numId w:val="0"/>
              </w:numPr>
              <w:rPr>
                <w:rStyle w:val="Hyperlink"/>
              </w:rPr>
            </w:pPr>
          </w:p>
        </w:tc>
      </w:tr>
      <w:tr w:rsidR="00FC4718" w:rsidTr="007A0B5B">
        <w:tc>
          <w:tcPr>
            <w:tcW w:w="2830" w:type="dxa"/>
          </w:tcPr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We maximize joy and connection, minimize fear.</w:t>
            </w:r>
          </w:p>
        </w:tc>
        <w:tc>
          <w:tcPr>
            <w:tcW w:w="6941" w:type="dxa"/>
            <w:shd w:val="clear" w:color="auto" w:fill="BDD6EE" w:themeFill="accent1" w:themeFillTint="66"/>
          </w:tcPr>
          <w:p w:rsidR="007A0B5B" w:rsidRPr="007A0B5B" w:rsidRDefault="007A0B5B" w:rsidP="001D66E9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7A0B5B">
              <w:rPr>
                <w:rFonts w:ascii="Calibri" w:hAnsi="Calibri" w:cs="Calibri"/>
                <w:sz w:val="22"/>
                <w:szCs w:val="22"/>
              </w:rPr>
              <w:t xml:space="preserve">We explore ways </w:t>
            </w:r>
            <w:r w:rsidR="00D15B94" w:rsidRPr="007A0B5B">
              <w:t>t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>o frame challenge</w:t>
            </w:r>
            <w:r w:rsidRPr="007A0B5B">
              <w:rPr>
                <w:rFonts w:ascii="Calibri" w:hAnsi="Calibri" w:cs="Calibri"/>
                <w:sz w:val="22"/>
                <w:szCs w:val="22"/>
              </w:rPr>
              <w:t>s through a lens of possibility.</w:t>
            </w:r>
          </w:p>
          <w:p w:rsidR="00D15B94" w:rsidRPr="007A0B5B" w:rsidRDefault="007A0B5B" w:rsidP="001D66E9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7A0B5B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>elevat</w:t>
            </w:r>
            <w:r w:rsidRPr="007A0B5B">
              <w:rPr>
                <w:rFonts w:ascii="Calibri" w:hAnsi="Calibri" w:cs="Calibri"/>
                <w:sz w:val="22"/>
                <w:szCs w:val="22"/>
              </w:rPr>
              <w:t>e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 xml:space="preserve"> the power of shared experiences and storytelling</w:t>
            </w:r>
            <w:r w:rsidRPr="007A0B5B">
              <w:rPr>
                <w:rFonts w:ascii="Calibri" w:hAnsi="Calibri" w:cs="Calibri"/>
                <w:sz w:val="22"/>
                <w:szCs w:val="22"/>
              </w:rPr>
              <w:t xml:space="preserve"> to create a potential for positive change. </w:t>
            </w:r>
          </w:p>
          <w:p w:rsidR="007A0B5B" w:rsidRPr="007A0B5B" w:rsidRDefault="007A0B5B" w:rsidP="001D66E9">
            <w:pPr>
              <w:pStyle w:val="NormalWeb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7A0B5B">
              <w:rPr>
                <w:rFonts w:ascii="Calibri" w:hAnsi="Calibri" w:cs="Calibri"/>
                <w:sz w:val="22"/>
                <w:szCs w:val="22"/>
              </w:rPr>
              <w:t xml:space="preserve">We acknowledge that there is room to improve diversity and inclusion in our organisation. </w:t>
            </w:r>
          </w:p>
          <w:p w:rsidR="00FC4718" w:rsidRDefault="007A0B5B" w:rsidP="001D66E9">
            <w:pPr>
              <w:pStyle w:val="NormalWeb"/>
              <w:numPr>
                <w:ilvl w:val="0"/>
                <w:numId w:val="7"/>
              </w:numPr>
              <w:rPr>
                <w:rStyle w:val="Hyperlink"/>
              </w:rPr>
            </w:pPr>
            <w:r w:rsidRPr="007A0B5B">
              <w:rPr>
                <w:rFonts w:ascii="Calibri" w:hAnsi="Calibri" w:cs="Calibri"/>
                <w:sz w:val="22"/>
                <w:szCs w:val="22"/>
              </w:rPr>
              <w:t xml:space="preserve">We will celebrate and spotlight our successes in achieving goals </w:t>
            </w:r>
            <w:r w:rsidR="00B72B43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7A0B5B">
              <w:rPr>
                <w:rFonts w:ascii="Calibri" w:hAnsi="Calibri" w:cs="Calibri"/>
                <w:sz w:val="22"/>
                <w:szCs w:val="22"/>
              </w:rPr>
              <w:t xml:space="preserve">support diversity and inclusion. </w:t>
            </w:r>
            <w:r w:rsidR="00D15B94" w:rsidRPr="007A0B5B">
              <w:t xml:space="preserve"> </w:t>
            </w:r>
          </w:p>
        </w:tc>
      </w:tr>
      <w:tr w:rsidR="00FC4718" w:rsidTr="00AB0022">
        <w:tc>
          <w:tcPr>
            <w:tcW w:w="2830" w:type="dxa"/>
            <w:shd w:val="clear" w:color="auto" w:fill="BDD6EE" w:themeFill="accent1" w:themeFillTint="66"/>
          </w:tcPr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We forget ‘fit’ and focus on helping individuals thrive.</w:t>
            </w:r>
          </w:p>
        </w:tc>
        <w:tc>
          <w:tcPr>
            <w:tcW w:w="6941" w:type="dxa"/>
          </w:tcPr>
          <w:p w:rsidR="002929D6" w:rsidRDefault="002929D6" w:rsidP="001D66E9">
            <w:pPr>
              <w:pStyle w:val="NormalWeb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create a culture 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 xml:space="preserve">where every individual can contribute </w:t>
            </w:r>
            <w:r w:rsidR="007360A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>their full potential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15B94" w:rsidRPr="007A0B5B" w:rsidRDefault="002929D6" w:rsidP="001D66E9">
            <w:pPr>
              <w:pStyle w:val="NormalWeb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>investigat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 xml:space="preserve"> the systems and processes in your organization to uncover 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ore spots and blind spots, and </w:t>
            </w:r>
            <w:r w:rsidR="00D15B94" w:rsidRPr="007A0B5B">
              <w:rPr>
                <w:rFonts w:ascii="Calibri" w:hAnsi="Calibri" w:cs="Calibri"/>
                <w:sz w:val="22"/>
                <w:szCs w:val="22"/>
              </w:rPr>
              <w:t>find ways to reimagine them.</w:t>
            </w:r>
          </w:p>
          <w:p w:rsidR="00FC4718" w:rsidRDefault="002929D6" w:rsidP="001D66E9">
            <w:pPr>
              <w:pStyle w:val="NormalWeb"/>
              <w:numPr>
                <w:ilvl w:val="0"/>
                <w:numId w:val="8"/>
              </w:numPr>
              <w:rPr>
                <w:rStyle w:val="Hyperlin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 avoid that </w:t>
            </w:r>
            <w:r w:rsidRPr="002929D6">
              <w:rPr>
                <w:rFonts w:ascii="Calibri" w:hAnsi="Calibri" w:cs="Calibri"/>
                <w:sz w:val="22"/>
                <w:szCs w:val="22"/>
              </w:rPr>
              <w:t>norms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 xml:space="preserve">, power structures, and inequities in </w:t>
            </w:r>
            <w:r w:rsidRPr="002929D6">
              <w:rPr>
                <w:rFonts w:ascii="Calibri" w:hAnsi="Calibri" w:cs="Calibri"/>
                <w:sz w:val="22"/>
                <w:szCs w:val="22"/>
              </w:rPr>
              <w:t>society become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 xml:space="preserve"> embedded 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>organization —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>hir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>, train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>, and reward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="007A0B5B" w:rsidRPr="002929D6">
              <w:rPr>
                <w:rFonts w:ascii="Calibri" w:hAnsi="Calibri" w:cs="Calibri"/>
                <w:sz w:val="22"/>
                <w:szCs w:val="22"/>
              </w:rPr>
              <w:t xml:space="preserve"> people who “fit.”</w:t>
            </w:r>
          </w:p>
        </w:tc>
      </w:tr>
      <w:tr w:rsidR="00FC4718" w:rsidTr="00AB0022">
        <w:tc>
          <w:tcPr>
            <w:tcW w:w="2830" w:type="dxa"/>
          </w:tcPr>
          <w:p w:rsidR="00FC4718" w:rsidRPr="00FC4718" w:rsidRDefault="00FC4718" w:rsidP="005C3105">
            <w:pPr>
              <w:jc w:val="left"/>
              <w:rPr>
                <w:rStyle w:val="Hyperlink"/>
                <w:rFonts w:ascii="Calibri" w:hAnsi="Calibri" w:cs="Calibri"/>
              </w:rPr>
            </w:pPr>
            <w:r w:rsidRPr="00FC4718">
              <w:rPr>
                <w:rFonts w:ascii="Calibri" w:hAnsi="Calibri" w:cs="Calibri"/>
              </w:rPr>
              <w:t>We consider our ‘brand’.</w:t>
            </w:r>
          </w:p>
        </w:tc>
        <w:tc>
          <w:tcPr>
            <w:tcW w:w="6941" w:type="dxa"/>
            <w:shd w:val="clear" w:color="auto" w:fill="BDD6EE" w:themeFill="accent1" w:themeFillTint="66"/>
          </w:tcPr>
          <w:p w:rsidR="00667ED7" w:rsidRDefault="00667ED7" w:rsidP="001D66E9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67ED7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="00D15B94" w:rsidRPr="00667ED7">
              <w:rPr>
                <w:rFonts w:ascii="Calibri" w:hAnsi="Calibri" w:cs="Calibri"/>
                <w:sz w:val="22"/>
                <w:szCs w:val="22"/>
              </w:rPr>
              <w:t xml:space="preserve">brand and culture are intimately connected. The services </w:t>
            </w:r>
            <w:r w:rsidRPr="00667ED7">
              <w:rPr>
                <w:rFonts w:ascii="Calibri" w:hAnsi="Calibri" w:cs="Calibri"/>
                <w:sz w:val="22"/>
                <w:szCs w:val="22"/>
              </w:rPr>
              <w:t>we provide and make known to the wider community reflect our values</w:t>
            </w:r>
            <w:r w:rsidR="00D15B94" w:rsidRPr="00667ED7">
              <w:rPr>
                <w:rFonts w:ascii="Calibri" w:hAnsi="Calibri" w:cs="Calibri"/>
                <w:sz w:val="22"/>
                <w:szCs w:val="22"/>
              </w:rPr>
              <w:t xml:space="preserve"> and our biases.</w:t>
            </w:r>
          </w:p>
          <w:p w:rsidR="00D15B94" w:rsidRDefault="00D15B94" w:rsidP="001D66E9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667ED7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667ED7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67ED7">
              <w:rPr>
                <w:rFonts w:ascii="Calibri" w:hAnsi="Calibri" w:cs="Calibri"/>
                <w:sz w:val="22"/>
                <w:szCs w:val="22"/>
              </w:rPr>
              <w:t xml:space="preserve">journey toward building a more inclusive organization, </w:t>
            </w:r>
            <w:r w:rsidR="00667ED7">
              <w:rPr>
                <w:rFonts w:ascii="Calibri" w:hAnsi="Calibri" w:cs="Calibri"/>
                <w:sz w:val="22"/>
                <w:szCs w:val="22"/>
              </w:rPr>
              <w:t>we</w:t>
            </w:r>
            <w:r w:rsidRPr="00667ED7">
              <w:rPr>
                <w:rFonts w:ascii="Calibri" w:hAnsi="Calibri" w:cs="Calibri"/>
                <w:sz w:val="22"/>
                <w:szCs w:val="22"/>
              </w:rPr>
              <w:t xml:space="preserve"> consider the relationship between what’s happening inside and outside</w:t>
            </w:r>
            <w:r w:rsidR="00667ED7">
              <w:rPr>
                <w:rFonts w:ascii="Calibri" w:hAnsi="Calibri" w:cs="Calibri"/>
                <w:sz w:val="22"/>
                <w:szCs w:val="22"/>
              </w:rPr>
              <w:t xml:space="preserve"> our organisation: </w:t>
            </w:r>
            <w:r w:rsidRPr="00667ED7">
              <w:rPr>
                <w:rFonts w:ascii="Calibri" w:hAnsi="Calibri" w:cs="Calibri"/>
                <w:sz w:val="22"/>
                <w:szCs w:val="22"/>
              </w:rPr>
              <w:t xml:space="preserve">In what ways is </w:t>
            </w:r>
            <w:r w:rsidR="00667ED7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67ED7">
              <w:rPr>
                <w:rFonts w:ascii="Calibri" w:hAnsi="Calibri" w:cs="Calibri"/>
                <w:sz w:val="22"/>
                <w:szCs w:val="22"/>
              </w:rPr>
              <w:t xml:space="preserve">employee base </w:t>
            </w:r>
            <w:r w:rsidR="00667ED7">
              <w:rPr>
                <w:rFonts w:ascii="Calibri" w:hAnsi="Calibri" w:cs="Calibri"/>
                <w:sz w:val="22"/>
                <w:szCs w:val="22"/>
              </w:rPr>
              <w:t>congruent with o</w:t>
            </w:r>
            <w:r w:rsidRPr="00667ED7">
              <w:rPr>
                <w:rFonts w:ascii="Calibri" w:hAnsi="Calibri" w:cs="Calibri"/>
                <w:sz w:val="22"/>
                <w:szCs w:val="22"/>
              </w:rPr>
              <w:t>ur customer base? What experiences are being left out or misunderstood?</w:t>
            </w:r>
          </w:p>
          <w:p w:rsidR="00EE7B43" w:rsidRDefault="00EE7B43" w:rsidP="001D66E9">
            <w:pPr>
              <w:pStyle w:val="Normal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are committed that our work on diversity and inclusion is transformative</w:t>
            </w:r>
            <w:r w:rsidR="009D7F7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C4718" w:rsidRDefault="009D7F7C" w:rsidP="001D66E9">
            <w:pPr>
              <w:pStyle w:val="NormalWeb"/>
              <w:numPr>
                <w:ilvl w:val="0"/>
                <w:numId w:val="9"/>
              </w:numPr>
              <w:rPr>
                <w:rStyle w:val="Hyperlin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invest in the required behaviour change by all employees and our governance</w:t>
            </w:r>
            <w:r w:rsidR="007360A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how we operate and the individual ways how we work, communicate, contribute and how we are in this </w:t>
            </w:r>
            <w:r w:rsidR="007360AF">
              <w:rPr>
                <w:rFonts w:ascii="Calibri" w:hAnsi="Calibri" w:cs="Calibri"/>
                <w:sz w:val="22"/>
                <w:szCs w:val="22"/>
              </w:rPr>
              <w:t xml:space="preserve">community, nation and </w:t>
            </w:r>
            <w:r>
              <w:rPr>
                <w:rFonts w:ascii="Calibri" w:hAnsi="Calibri" w:cs="Calibri"/>
                <w:sz w:val="22"/>
                <w:szCs w:val="22"/>
              </w:rPr>
              <w:t>world.</w:t>
            </w:r>
          </w:p>
        </w:tc>
      </w:tr>
    </w:tbl>
    <w:p w:rsidR="005C4100" w:rsidRDefault="005C4100"/>
    <w:p w:rsidR="005C4100" w:rsidRDefault="005C4100"/>
    <w:p w:rsidR="005C4100" w:rsidRDefault="005C4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5C4100" w:rsidTr="002C2409">
        <w:tc>
          <w:tcPr>
            <w:tcW w:w="9771" w:type="dxa"/>
            <w:gridSpan w:val="2"/>
            <w:shd w:val="clear" w:color="auto" w:fill="9FE6FF"/>
          </w:tcPr>
          <w:p w:rsidR="004C200C" w:rsidRDefault="00784031" w:rsidP="004C200C">
            <w:pPr>
              <w:pStyle w:val="NormalWeb"/>
              <w:spacing w:before="0" w:beforeAutospacing="0" w:after="0" w:afterAutospacing="0"/>
              <w:ind w:left="60"/>
              <w:rPr>
                <w:rFonts w:ascii="Calibri" w:hAnsi="Calibri" w:cs="Calibri"/>
                <w:b/>
                <w:sz w:val="22"/>
                <w:szCs w:val="22"/>
              </w:rPr>
            </w:pPr>
            <w:r w:rsidRPr="00784031">
              <w:rPr>
                <w:rStyle w:val="normalChar1"/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174625</wp:posOffset>
                      </wp:positionV>
                      <wp:extent cx="2360930" cy="118110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E7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031" w:rsidRDefault="00784031">
                                  <w:pPr>
                                    <w:rPr>
                                      <w:rStyle w:val="normalChar1"/>
                                      <w:rFonts w:asciiTheme="minorHAnsi" w:eastAsia="Calibri" w:hAnsiTheme="minorHAnsi" w:cstheme="minorHAnsi"/>
                                    </w:rPr>
                                  </w:pPr>
                                </w:p>
                                <w:p w:rsidR="00784031" w:rsidRDefault="00784031">
                                  <w:r>
                                    <w:rPr>
                                      <w:rStyle w:val="normalChar1"/>
                                      <w:rFonts w:asciiTheme="minorHAnsi" w:eastAsia="Calibri" w:hAnsiTheme="minorHAnsi" w:cstheme="minorHAnsi"/>
                                    </w:rPr>
                                    <w:t xml:space="preserve">It </w:t>
                                  </w:r>
                                  <w:r w:rsidRPr="009522C0">
                                    <w:rPr>
                                      <w:rStyle w:val="normalChar1"/>
                                      <w:rFonts w:asciiTheme="minorHAnsi" w:eastAsia="Calibri" w:hAnsiTheme="minorHAnsi" w:cstheme="minorHAnsi"/>
                                    </w:rPr>
                                    <w:t>makes good business sense to employ people of a variety of ages — to reflect our customer base, to learn from each other, and to retain valued skills and knowledge of our organisation’s needs.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9pt;margin-top:13.75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" fillcolor="#a3e7ff" strokecolor="white [3212]">
                      <v:textbox>
                        <w:txbxContent>
                          <w:p w:rsidR="00784031" w:rsidRDefault="00784031">
                            <w:pPr>
                              <w:rPr>
                                <w:rStyle w:val="normalChar1"/>
                                <w:rFonts w:asciiTheme="minorHAnsi" w:eastAsia="Calibri" w:hAnsiTheme="minorHAnsi" w:cstheme="minorHAnsi"/>
                              </w:rPr>
                            </w:pPr>
                          </w:p>
                          <w:p w:rsidR="00784031" w:rsidRDefault="00784031">
                            <w:r>
                              <w:rPr>
                                <w:rStyle w:val="normalChar1"/>
                                <w:rFonts w:asciiTheme="minorHAnsi" w:eastAsia="Calibri" w:hAnsiTheme="minorHAnsi" w:cstheme="minorHAnsi"/>
                              </w:rPr>
                              <w:t xml:space="preserve">It </w:t>
                            </w:r>
                            <w:r w:rsidRPr="009522C0">
                              <w:rPr>
                                <w:rStyle w:val="normalChar1"/>
                                <w:rFonts w:asciiTheme="minorHAnsi" w:eastAsia="Calibri" w:hAnsiTheme="minorHAnsi" w:cstheme="minorHAnsi"/>
                              </w:rPr>
                              <w:t>makes good business sense to employ people of a variety of ages — to reflect our customer base, to learn from each other, and to retain valued skills and knowledge of our organisation’s needs.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100">
              <w:rPr>
                <w:rFonts w:ascii="Calibri" w:hAnsi="Calibri" w:cs="Calibri"/>
                <w:b/>
                <w:sz w:val="22"/>
                <w:szCs w:val="22"/>
              </w:rPr>
              <w:t>Age diversity at work</w:t>
            </w:r>
          </w:p>
          <w:p w:rsidR="004C200C" w:rsidRPr="005C4100" w:rsidRDefault="00064C2B" w:rsidP="00784031">
            <w:pPr>
              <w:pStyle w:val="NormalWeb"/>
              <w:spacing w:before="0" w:beforeAutospacing="0" w:after="0" w:afterAutospacing="0"/>
              <w:ind w:left="60"/>
              <w:jc w:val="center"/>
              <w:rPr>
                <w:rFonts w:cs="Calibri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DADA74" wp14:editId="77FB74CC">
                  <wp:extent cx="1485900" cy="1181100"/>
                  <wp:effectExtent l="0" t="0" r="0" b="0"/>
                  <wp:docPr id="290" name="Picture 290" descr="Old and Young Women Citizens Concept - Download Free Vectors, Clipart 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and Young Women Citizens Concept - Download Free Vectors, Clipart 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F23CDB" wp14:editId="5A1566D6">
                  <wp:extent cx="1371600" cy="1171575"/>
                  <wp:effectExtent l="0" t="0" r="0" b="9525"/>
                  <wp:docPr id="2" name="Picture 2" descr="Male Citizens Background - Download Free Vectors, Clipart Graphics &amp; Vector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e Citizens Background - Download Free Vectors, Clipart Graphics &amp; Vector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100" w:rsidTr="00596756">
        <w:trPr>
          <w:trHeight w:val="455"/>
        </w:trPr>
        <w:tc>
          <w:tcPr>
            <w:tcW w:w="2830" w:type="dxa"/>
          </w:tcPr>
          <w:p w:rsidR="005C4100" w:rsidRPr="00FC4718" w:rsidRDefault="006579FB" w:rsidP="004C200C">
            <w:pPr>
              <w:pStyle w:val="Normal2"/>
            </w:pPr>
            <w:r>
              <w:t>Peoples potential at all ages:</w:t>
            </w:r>
          </w:p>
        </w:tc>
        <w:tc>
          <w:tcPr>
            <w:tcW w:w="6941" w:type="dxa"/>
            <w:shd w:val="clear" w:color="auto" w:fill="CDF2FF"/>
          </w:tcPr>
          <w:p w:rsidR="006579FB" w:rsidRDefault="00397D47" w:rsidP="001D66E9">
            <w:pPr>
              <w:pStyle w:val="Normal2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are </w:t>
            </w:r>
            <w:r w:rsidR="006579FB">
              <w:t>keen to learn and develop new skills</w:t>
            </w:r>
          </w:p>
          <w:p w:rsidR="006579FB" w:rsidRDefault="006579FB" w:rsidP="001D66E9">
            <w:pPr>
              <w:pStyle w:val="Normal2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want to contribute to the workplace in different ways</w:t>
            </w:r>
          </w:p>
          <w:p w:rsidR="006579FB" w:rsidRDefault="006579FB" w:rsidP="001D66E9">
            <w:pPr>
              <w:pStyle w:val="Normal2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look for a new job, including after a break from employment</w:t>
            </w:r>
          </w:p>
          <w:p w:rsidR="006579FB" w:rsidRDefault="006579FB" w:rsidP="001D66E9">
            <w:pPr>
              <w:pStyle w:val="Normal2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look after others, eg young children or elderly whānau</w:t>
            </w:r>
          </w:p>
          <w:p w:rsidR="005C4100" w:rsidRPr="00667ED7" w:rsidRDefault="006579FB" w:rsidP="000850B9">
            <w:pPr>
              <w:pStyle w:val="Normal2"/>
              <w:numPr>
                <w:ilvl w:val="0"/>
                <w:numId w:val="13"/>
              </w:numPr>
              <w:spacing w:before="0" w:beforeAutospacing="0" w:after="0" w:afterAutospacing="0"/>
              <w:rPr>
                <w:rFonts w:cs="Calibri"/>
                <w:szCs w:val="22"/>
              </w:rPr>
            </w:pPr>
            <w:r>
              <w:t>want time out for work/life balance.</w:t>
            </w:r>
          </w:p>
        </w:tc>
      </w:tr>
      <w:tr w:rsidR="004C200C" w:rsidTr="004C200C">
        <w:tc>
          <w:tcPr>
            <w:tcW w:w="2830" w:type="dxa"/>
            <w:shd w:val="clear" w:color="auto" w:fill="CDF2FF"/>
          </w:tcPr>
          <w:p w:rsidR="004C200C" w:rsidRDefault="00B16566" w:rsidP="004C200C">
            <w:pPr>
              <w:pStyle w:val="Normal2"/>
            </w:pPr>
            <w:r>
              <w:t>Employees of all ages value:</w:t>
            </w:r>
          </w:p>
        </w:tc>
        <w:tc>
          <w:tcPr>
            <w:tcW w:w="6941" w:type="dxa"/>
            <w:shd w:val="clear" w:color="auto" w:fill="FFFFFF" w:themeFill="background1"/>
          </w:tcPr>
          <w:p w:rsidR="00B16566" w:rsidRDefault="00B16566" w:rsidP="001D66E9">
            <w:pPr>
              <w:pStyle w:val="Normal2"/>
              <w:numPr>
                <w:ilvl w:val="0"/>
                <w:numId w:val="15"/>
              </w:numPr>
              <w:spacing w:before="0" w:beforeAutospacing="0"/>
            </w:pPr>
            <w:r>
              <w:t>meaningful work</w:t>
            </w:r>
          </w:p>
          <w:p w:rsidR="00B16566" w:rsidRDefault="00B16566" w:rsidP="001D66E9">
            <w:pPr>
              <w:pStyle w:val="Normal2"/>
              <w:numPr>
                <w:ilvl w:val="0"/>
                <w:numId w:val="15"/>
              </w:numPr>
              <w:spacing w:before="0" w:beforeAutospacing="0"/>
            </w:pPr>
            <w:r>
              <w:t>flexible working arrangements</w:t>
            </w:r>
          </w:p>
          <w:p w:rsidR="00B16566" w:rsidRDefault="00B16566" w:rsidP="001D66E9">
            <w:pPr>
              <w:pStyle w:val="Normal2"/>
              <w:numPr>
                <w:ilvl w:val="0"/>
                <w:numId w:val="15"/>
              </w:numPr>
              <w:spacing w:before="0" w:beforeAutospacing="0"/>
            </w:pPr>
            <w:r>
              <w:t>learning opportunities to keep skills up to date</w:t>
            </w:r>
          </w:p>
          <w:p w:rsidR="004C200C" w:rsidRDefault="00B16566" w:rsidP="001D66E9">
            <w:pPr>
              <w:pStyle w:val="Normal2"/>
              <w:numPr>
                <w:ilvl w:val="0"/>
                <w:numId w:val="15"/>
              </w:numPr>
              <w:spacing w:before="0" w:beforeAutospacing="0"/>
            </w:pPr>
            <w:r>
              <w:t>fair treatment. </w:t>
            </w:r>
          </w:p>
        </w:tc>
      </w:tr>
      <w:tr w:rsidR="00CB5C35" w:rsidTr="00CB5C35">
        <w:tc>
          <w:tcPr>
            <w:tcW w:w="2830" w:type="dxa"/>
            <w:shd w:val="clear" w:color="auto" w:fill="FFFFFF" w:themeFill="background1"/>
          </w:tcPr>
          <w:p w:rsidR="00CB5C35" w:rsidRDefault="00B16566" w:rsidP="004C200C">
            <w:pPr>
              <w:pStyle w:val="Normal2"/>
            </w:pPr>
            <w:r>
              <w:t>Learning</w:t>
            </w:r>
          </w:p>
        </w:tc>
        <w:tc>
          <w:tcPr>
            <w:tcW w:w="6941" w:type="dxa"/>
            <w:shd w:val="clear" w:color="auto" w:fill="CDF2FF"/>
          </w:tcPr>
          <w:p w:rsidR="00B16566" w:rsidRDefault="00B16566" w:rsidP="001D66E9">
            <w:pPr>
              <w:pStyle w:val="Normal2"/>
              <w:numPr>
                <w:ilvl w:val="0"/>
                <w:numId w:val="16"/>
              </w:numPr>
            </w:pPr>
            <w:r>
              <w:t>All our employees benefit from continuing to learn.</w:t>
            </w:r>
          </w:p>
          <w:p w:rsidR="00B16566" w:rsidRDefault="00B16566" w:rsidP="001D66E9">
            <w:pPr>
              <w:pStyle w:val="Normal2"/>
              <w:numPr>
                <w:ilvl w:val="0"/>
                <w:numId w:val="16"/>
              </w:numPr>
            </w:pPr>
            <w:r>
              <w:t xml:space="preserve">We explore with each employee about how they prefer to learn new tasks or information. </w:t>
            </w:r>
          </w:p>
          <w:p w:rsidR="00B16566" w:rsidRDefault="00B16566" w:rsidP="001D66E9">
            <w:pPr>
              <w:pStyle w:val="Normal2"/>
              <w:numPr>
                <w:ilvl w:val="0"/>
                <w:numId w:val="16"/>
              </w:numPr>
            </w:pPr>
            <w:r>
              <w:t>We consider each employees preferred learning style. For example do they prefer to lean by:</w:t>
            </w:r>
          </w:p>
          <w:p w:rsidR="00B16566" w:rsidRDefault="00B16566" w:rsidP="001D66E9">
            <w:pPr>
              <w:pStyle w:val="Normal2"/>
              <w:numPr>
                <w:ilvl w:val="1"/>
                <w:numId w:val="16"/>
              </w:numPr>
            </w:pPr>
            <w:r>
              <w:t>reading</w:t>
            </w:r>
          </w:p>
          <w:p w:rsidR="00B16566" w:rsidRDefault="00B16566" w:rsidP="001D66E9">
            <w:pPr>
              <w:pStyle w:val="Normal2"/>
              <w:numPr>
                <w:ilvl w:val="1"/>
                <w:numId w:val="16"/>
              </w:numPr>
            </w:pPr>
            <w:r>
              <w:t>trying something out</w:t>
            </w:r>
          </w:p>
          <w:p w:rsidR="00B16566" w:rsidRDefault="00B16566" w:rsidP="001D66E9">
            <w:pPr>
              <w:pStyle w:val="Normal2"/>
              <w:numPr>
                <w:ilvl w:val="1"/>
                <w:numId w:val="16"/>
              </w:numPr>
            </w:pPr>
            <w:r>
              <w:t>watch</w:t>
            </w:r>
            <w:r w:rsidR="000850B9">
              <w:t>ing</w:t>
            </w:r>
            <w:r>
              <w:t xml:space="preserve"> a co-worker in action</w:t>
            </w:r>
          </w:p>
          <w:p w:rsidR="00CB5C35" w:rsidRDefault="00B16566" w:rsidP="000850B9">
            <w:pPr>
              <w:pStyle w:val="Normal2"/>
              <w:numPr>
                <w:ilvl w:val="1"/>
                <w:numId w:val="16"/>
              </w:numPr>
            </w:pPr>
            <w:r>
              <w:t>work</w:t>
            </w:r>
            <w:r w:rsidR="000850B9">
              <w:t>ing</w:t>
            </w:r>
            <w:r>
              <w:t xml:space="preserve"> on a project </w:t>
            </w:r>
            <w:r w:rsidR="000850B9">
              <w:t>with others.</w:t>
            </w:r>
          </w:p>
        </w:tc>
      </w:tr>
      <w:tr w:rsidR="00596756" w:rsidTr="00596756">
        <w:tc>
          <w:tcPr>
            <w:tcW w:w="2830" w:type="dxa"/>
            <w:shd w:val="clear" w:color="auto" w:fill="CDF2FF"/>
          </w:tcPr>
          <w:p w:rsidR="00596756" w:rsidRDefault="004D3414" w:rsidP="004C200C">
            <w:pPr>
              <w:pStyle w:val="Normal2"/>
            </w:pPr>
            <w:r>
              <w:t>Challenging stereotypes</w:t>
            </w:r>
          </w:p>
        </w:tc>
        <w:tc>
          <w:tcPr>
            <w:tcW w:w="6941" w:type="dxa"/>
            <w:shd w:val="clear" w:color="auto" w:fill="FFFFFF" w:themeFill="background1"/>
          </w:tcPr>
          <w:p w:rsidR="008C66E5" w:rsidRDefault="008C66E5" w:rsidP="001D66E9">
            <w:pPr>
              <w:pStyle w:val="Normal2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We </w:t>
            </w:r>
            <w:r w:rsidR="001D66E9">
              <w:t>make it our business to know about our employees skills rather than make assumptions.</w:t>
            </w:r>
          </w:p>
          <w:p w:rsidR="001D66E9" w:rsidRDefault="001D66E9" w:rsidP="001D66E9">
            <w:pPr>
              <w:pStyle w:val="Normal2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Common assumptions are for example:</w:t>
            </w:r>
          </w:p>
          <w:p w:rsidR="001D66E9" w:rsidRDefault="001D66E9" w:rsidP="001D66E9">
            <w:pPr>
              <w:pStyle w:val="Normal2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older people aren’t tech savvy</w:t>
            </w:r>
          </w:p>
          <w:p w:rsidR="001D66E9" w:rsidRDefault="001D66E9" w:rsidP="001D66E9">
            <w:pPr>
              <w:pStyle w:val="Normal2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younger people know how to promote our service on social media</w:t>
            </w:r>
          </w:p>
          <w:p w:rsidR="001D66E9" w:rsidRDefault="001D66E9" w:rsidP="001D66E9">
            <w:pPr>
              <w:pStyle w:val="Normal2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‘you can’t teach an old dog new tricks’</w:t>
            </w:r>
          </w:p>
          <w:p w:rsidR="001D66E9" w:rsidRDefault="001D66E9" w:rsidP="001D66E9">
            <w:pPr>
              <w:pStyle w:val="Normal2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Young or older, some people embrace new challenges and others don’t.</w:t>
            </w:r>
          </w:p>
        </w:tc>
      </w:tr>
      <w:tr w:rsidR="00C1239A" w:rsidTr="00C1239A">
        <w:tc>
          <w:tcPr>
            <w:tcW w:w="2830" w:type="dxa"/>
            <w:shd w:val="clear" w:color="auto" w:fill="FFFFFF" w:themeFill="background1"/>
          </w:tcPr>
          <w:p w:rsidR="00C1239A" w:rsidRDefault="00C1239A" w:rsidP="004C200C">
            <w:pPr>
              <w:pStyle w:val="Normal2"/>
            </w:pPr>
            <w:r>
              <w:t>Working conditions</w:t>
            </w:r>
          </w:p>
        </w:tc>
        <w:tc>
          <w:tcPr>
            <w:tcW w:w="6941" w:type="dxa"/>
            <w:shd w:val="clear" w:color="auto" w:fill="CDF2FF"/>
          </w:tcPr>
          <w:p w:rsidR="00C1239A" w:rsidRDefault="00C1239A" w:rsidP="00C1239A">
            <w:pPr>
              <w:pStyle w:val="Normal2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We check our premises for ways to make it easier for all people to get around, do their work, and understand what’s required.</w:t>
            </w:r>
          </w:p>
          <w:p w:rsidR="00C1239A" w:rsidRDefault="00C1239A" w:rsidP="00C1239A">
            <w:pPr>
              <w:pStyle w:val="Normal2"/>
              <w:numPr>
                <w:ilvl w:val="0"/>
                <w:numId w:val="17"/>
              </w:numPr>
            </w:pPr>
            <w:r>
              <w:t>Workers of all ages benefit from:</w:t>
            </w:r>
          </w:p>
          <w:p w:rsidR="00C1239A" w:rsidRDefault="00C1239A" w:rsidP="00C1239A">
            <w:pPr>
              <w:pStyle w:val="Normal2"/>
              <w:numPr>
                <w:ilvl w:val="1"/>
                <w:numId w:val="17"/>
              </w:numPr>
            </w:pPr>
            <w:r>
              <w:t>plenty of light to work by</w:t>
            </w:r>
          </w:p>
          <w:p w:rsidR="00C1239A" w:rsidRDefault="00C1239A" w:rsidP="00C1239A">
            <w:pPr>
              <w:pStyle w:val="Normal2"/>
              <w:numPr>
                <w:ilvl w:val="1"/>
                <w:numId w:val="17"/>
              </w:numPr>
            </w:pPr>
            <w:r>
              <w:t>easy-access work stations</w:t>
            </w:r>
          </w:p>
          <w:p w:rsidR="00C1239A" w:rsidRDefault="00C1239A" w:rsidP="00C1239A">
            <w:pPr>
              <w:pStyle w:val="Normal2"/>
              <w:numPr>
                <w:ilvl w:val="1"/>
                <w:numId w:val="17"/>
              </w:numPr>
            </w:pPr>
            <w:r>
              <w:t>option to stand or sit</w:t>
            </w:r>
          </w:p>
          <w:p w:rsidR="00C1239A" w:rsidRDefault="00C1239A" w:rsidP="00C1239A">
            <w:pPr>
              <w:pStyle w:val="Normal2"/>
              <w:numPr>
                <w:ilvl w:val="1"/>
                <w:numId w:val="17"/>
              </w:numPr>
            </w:pPr>
            <w:r>
              <w:t>larger text in documents.</w:t>
            </w:r>
          </w:p>
        </w:tc>
      </w:tr>
    </w:tbl>
    <w:p w:rsidR="008713F5" w:rsidRDefault="008713F5"/>
    <w:p w:rsidR="00784031" w:rsidRDefault="00784031"/>
    <w:p w:rsidR="00784031" w:rsidRDefault="00784031"/>
    <w:p w:rsidR="00784031" w:rsidRDefault="00784031"/>
    <w:p w:rsidR="00784031" w:rsidRDefault="00784031"/>
    <w:p w:rsidR="00784031" w:rsidRDefault="00784031"/>
    <w:p w:rsidR="00784031" w:rsidRDefault="00784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49"/>
      </w:tblGrid>
      <w:tr w:rsidR="008713F5" w:rsidTr="006909F9">
        <w:tc>
          <w:tcPr>
            <w:tcW w:w="9771" w:type="dxa"/>
            <w:gridSpan w:val="2"/>
            <w:shd w:val="clear" w:color="auto" w:fill="DEC8EE"/>
          </w:tcPr>
          <w:p w:rsidR="00DD36C9" w:rsidRDefault="008713F5" w:rsidP="00961055">
            <w:pPr>
              <w:pStyle w:val="Normal2"/>
              <w:spacing w:before="0" w:beforeAutospacing="0" w:after="0" w:afterAutospacing="0"/>
              <w:rPr>
                <w:b/>
              </w:rPr>
            </w:pPr>
            <w:r w:rsidRPr="00961055">
              <w:rPr>
                <w:b/>
              </w:rPr>
              <w:t>Diversability</w:t>
            </w:r>
            <w:r w:rsidR="00A63ED7">
              <w:rPr>
                <w:b/>
              </w:rPr>
              <w:t xml:space="preserve"> </w:t>
            </w:r>
          </w:p>
          <w:p w:rsidR="004F4626" w:rsidRDefault="000850B9" w:rsidP="00D342E4">
            <w:pPr>
              <w:pStyle w:val="Normal2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1450" cy="895350"/>
                  <wp:effectExtent l="0" t="0" r="0" b="0"/>
                  <wp:docPr id="21" name="Picture 21" descr="19,936 Disabled Perso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,936 Disabled Perso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055" w:rsidRPr="00A63ED7" w:rsidRDefault="00A63ED7" w:rsidP="00D342E4">
            <w:pPr>
              <w:pStyle w:val="Normal2"/>
              <w:spacing w:before="0" w:beforeAutospacing="0" w:after="0" w:afterAutospacing="0"/>
              <w:jc w:val="center"/>
            </w:pPr>
            <w:r>
              <w:t>D</w:t>
            </w:r>
            <w:r w:rsidRPr="00A63ED7">
              <w:t>is</w:t>
            </w:r>
            <w:r w:rsidR="000850B9">
              <w:t xml:space="preserve">abled people are throughout our </w:t>
            </w:r>
            <w:r w:rsidRPr="00A63ED7">
              <w:t>community: men, women, and children; employers and employees; students and teachers; people of all ethnicities and religions; customers and citizens.</w:t>
            </w:r>
            <w:r>
              <w:t xml:space="preserve"> </w:t>
            </w:r>
            <w:r w:rsidRPr="00A63ED7">
              <w:t>No two people are the same, and no two people with the same disability experience it in the same way</w:t>
            </w:r>
            <w:r w:rsidR="000A4E9B">
              <w:t xml:space="preserve"> (</w:t>
            </w:r>
            <w:hyperlink r:id="rId24" w:history="1">
              <w:r w:rsidR="000A4E9B" w:rsidRPr="000A4E9B">
                <w:rPr>
                  <w:rStyle w:val="Hyperlink"/>
                </w:rPr>
                <w:t>MSD toolkit</w:t>
              </w:r>
            </w:hyperlink>
            <w:r w:rsidR="000A4E9B">
              <w:t>)</w:t>
            </w:r>
          </w:p>
        </w:tc>
      </w:tr>
      <w:tr w:rsidR="00E2033D" w:rsidTr="001C2D20">
        <w:tc>
          <w:tcPr>
            <w:tcW w:w="2122" w:type="dxa"/>
            <w:shd w:val="clear" w:color="auto" w:fill="FFFFFF" w:themeFill="background1"/>
          </w:tcPr>
          <w:p w:rsidR="00E2033D" w:rsidRDefault="00E2033D" w:rsidP="000B40A7">
            <w:pPr>
              <w:pStyle w:val="Normal2"/>
            </w:pPr>
            <w:r>
              <w:t>Disability</w:t>
            </w:r>
          </w:p>
        </w:tc>
        <w:tc>
          <w:tcPr>
            <w:tcW w:w="7649" w:type="dxa"/>
            <w:shd w:val="clear" w:color="auto" w:fill="ECDFF5"/>
          </w:tcPr>
          <w:p w:rsidR="00E2033D" w:rsidRDefault="00E2033D" w:rsidP="00E2033D">
            <w:pPr>
              <w:pStyle w:val="Normal2"/>
              <w:spacing w:after="0" w:afterAutospacing="0"/>
            </w:pPr>
            <w:r>
              <w:t>There are different kinds of disability, For example:</w:t>
            </w:r>
          </w:p>
          <w:p w:rsidR="00E2033D" w:rsidRDefault="00E2033D" w:rsidP="00E2033D">
            <w:pPr>
              <w:pStyle w:val="Normal2"/>
              <w:numPr>
                <w:ilvl w:val="0"/>
                <w:numId w:val="26"/>
              </w:numPr>
              <w:spacing w:before="0" w:beforeAutospacing="0"/>
            </w:pPr>
            <w:r>
              <w:t>physical</w:t>
            </w:r>
          </w:p>
          <w:p w:rsidR="00E2033D" w:rsidRDefault="00E2033D" w:rsidP="00E2033D">
            <w:pPr>
              <w:pStyle w:val="Normal2"/>
              <w:numPr>
                <w:ilvl w:val="0"/>
                <w:numId w:val="26"/>
              </w:numPr>
              <w:spacing w:before="0" w:beforeAutospacing="0"/>
            </w:pPr>
            <w:r>
              <w:t>sensory</w:t>
            </w:r>
          </w:p>
          <w:p w:rsidR="00E2033D" w:rsidRDefault="00E2033D" w:rsidP="00E2033D">
            <w:pPr>
              <w:pStyle w:val="Normal2"/>
              <w:numPr>
                <w:ilvl w:val="0"/>
                <w:numId w:val="26"/>
              </w:numPr>
              <w:spacing w:before="0" w:beforeAutospacing="0"/>
            </w:pPr>
            <w:r>
              <w:t xml:space="preserve">intellectual or </w:t>
            </w:r>
          </w:p>
          <w:p w:rsidR="00E2033D" w:rsidRDefault="00E2033D" w:rsidP="00831320">
            <w:pPr>
              <w:pStyle w:val="Normal2"/>
              <w:numPr>
                <w:ilvl w:val="0"/>
                <w:numId w:val="26"/>
              </w:numPr>
              <w:spacing w:before="0" w:beforeAutospacing="0" w:after="0" w:afterAutospacing="0"/>
            </w:pPr>
            <w:r>
              <w:t xml:space="preserve">mental health related. </w:t>
            </w:r>
          </w:p>
          <w:p w:rsidR="00E2033D" w:rsidRDefault="00E2033D" w:rsidP="00E2033D">
            <w:pPr>
              <w:pStyle w:val="Normal2"/>
              <w:spacing w:before="0" w:beforeAutospacing="0" w:after="0" w:afterAutospacing="0"/>
            </w:pPr>
            <w:r>
              <w:t xml:space="preserve">A disability may be visible or hidden, permanent or temporary and could have a minor or major impact on a person’s life. A disability may affect </w:t>
            </w:r>
          </w:p>
          <w:p w:rsidR="00E2033D" w:rsidRDefault="00E2033D" w:rsidP="00E2033D">
            <w:pPr>
              <w:pStyle w:val="Normal2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mobility</w:t>
            </w:r>
          </w:p>
          <w:p w:rsidR="00E2033D" w:rsidRDefault="00E2033D" w:rsidP="00E2033D">
            <w:pPr>
              <w:pStyle w:val="Normal2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>ability to learn</w:t>
            </w:r>
          </w:p>
          <w:p w:rsidR="00831320" w:rsidRDefault="00E2033D" w:rsidP="00E2033D">
            <w:pPr>
              <w:pStyle w:val="Normal2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 xml:space="preserve">ability to see </w:t>
            </w:r>
          </w:p>
          <w:p w:rsidR="00E2033D" w:rsidRDefault="00E2033D" w:rsidP="00E2033D">
            <w:pPr>
              <w:pStyle w:val="Normal2"/>
              <w:numPr>
                <w:ilvl w:val="0"/>
                <w:numId w:val="25"/>
              </w:numPr>
              <w:spacing w:before="0" w:beforeAutospacing="0" w:after="0" w:afterAutospacing="0"/>
            </w:pPr>
            <w:r>
              <w:t xml:space="preserve"> ability to communicate easily.</w:t>
            </w:r>
          </w:p>
        </w:tc>
      </w:tr>
      <w:tr w:rsidR="008713F5" w:rsidTr="001C2D20">
        <w:tc>
          <w:tcPr>
            <w:tcW w:w="2122" w:type="dxa"/>
            <w:shd w:val="clear" w:color="auto" w:fill="ECDFF5"/>
          </w:tcPr>
          <w:p w:rsidR="000B40A7" w:rsidRPr="000B40A7" w:rsidRDefault="00F3755D" w:rsidP="000B40A7">
            <w:pPr>
              <w:pStyle w:val="Normal2"/>
            </w:pPr>
            <w:r>
              <w:t xml:space="preserve">We are a </w:t>
            </w:r>
            <w:r w:rsidR="000B40A7" w:rsidRPr="000B40A7">
              <w:t xml:space="preserve"> disability confident organisation:</w:t>
            </w:r>
          </w:p>
          <w:p w:rsidR="008713F5" w:rsidRDefault="008713F5" w:rsidP="004C200C">
            <w:pPr>
              <w:pStyle w:val="Normal2"/>
            </w:pPr>
          </w:p>
        </w:tc>
        <w:tc>
          <w:tcPr>
            <w:tcW w:w="7649" w:type="dxa"/>
            <w:shd w:val="clear" w:color="auto" w:fill="FFFFFF" w:themeFill="background1"/>
          </w:tcPr>
          <w:p w:rsidR="000B40A7" w:rsidRPr="000B40A7" w:rsidRDefault="00801999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Our </w:t>
            </w:r>
            <w:r w:rsidR="000B40A7" w:rsidRPr="000B40A7">
              <w:t xml:space="preserve">managers and staff understand disability and know what people with </w:t>
            </w:r>
            <w:r>
              <w:t xml:space="preserve">a </w:t>
            </w:r>
            <w:r w:rsidR="000B40A7" w:rsidRPr="000B40A7">
              <w:t>disability can do</w:t>
            </w:r>
            <w:r>
              <w:t>.</w:t>
            </w:r>
          </w:p>
          <w:p w:rsidR="000B40A7" w:rsidRPr="000B40A7" w:rsidRDefault="00801999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Our </w:t>
            </w:r>
            <w:r w:rsidR="000B40A7" w:rsidRPr="000B40A7">
              <w:t xml:space="preserve">managers know it is important </w:t>
            </w:r>
            <w:r w:rsidR="00BF0EF8">
              <w:t xml:space="preserve">for our </w:t>
            </w:r>
            <w:r w:rsidR="000B40A7" w:rsidRPr="000B40A7">
              <w:t xml:space="preserve">organisation to employ people with </w:t>
            </w:r>
            <w:r w:rsidR="00BF0EF8">
              <w:t>a disability.</w:t>
            </w:r>
          </w:p>
          <w:p w:rsidR="000B40A7" w:rsidRPr="000B40A7" w:rsidRDefault="00BF0EF8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Our organisation follows </w:t>
            </w:r>
            <w:r w:rsidR="000B40A7" w:rsidRPr="000B40A7">
              <w:t>inclusive policies and practices</w:t>
            </w:r>
            <w:r>
              <w:t>.</w:t>
            </w:r>
          </w:p>
          <w:p w:rsidR="000B40A7" w:rsidRPr="000B40A7" w:rsidRDefault="00BF0EF8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We </w:t>
            </w:r>
            <w:r w:rsidR="000B40A7" w:rsidRPr="000B40A7">
              <w:t>address barriers to employment and promotion for people with disability</w:t>
            </w:r>
          </w:p>
          <w:p w:rsidR="000B40A7" w:rsidRPr="000B40A7" w:rsidRDefault="00BF0EF8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>We think</w:t>
            </w:r>
            <w:r w:rsidR="000B40A7" w:rsidRPr="000B40A7">
              <w:t xml:space="preserve"> about the needs of people with </w:t>
            </w:r>
            <w:r>
              <w:t xml:space="preserve">a </w:t>
            </w:r>
            <w:r w:rsidR="000B40A7" w:rsidRPr="000B40A7">
              <w:t>di</w:t>
            </w:r>
            <w:r>
              <w:t>s</w:t>
            </w:r>
            <w:r w:rsidR="000B40A7" w:rsidRPr="000B40A7">
              <w:t xml:space="preserve">ability when </w:t>
            </w:r>
            <w:r>
              <w:t xml:space="preserve">arranging activities, tasks </w:t>
            </w:r>
            <w:r w:rsidR="000B40A7" w:rsidRPr="000B40A7">
              <w:t>and services</w:t>
            </w:r>
          </w:p>
          <w:p w:rsidR="000B40A7" w:rsidRPr="000B40A7" w:rsidRDefault="00BF0EF8" w:rsidP="00A74816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We </w:t>
            </w:r>
            <w:r w:rsidR="000B40A7" w:rsidRPr="000B40A7">
              <w:t>attract a wider pool of job applicants</w:t>
            </w:r>
            <w:r>
              <w:t xml:space="preserve"> by being inclusive.</w:t>
            </w:r>
          </w:p>
          <w:p w:rsidR="000B40A7" w:rsidRPr="000B40A7" w:rsidRDefault="00BF0EF8" w:rsidP="000B40A7">
            <w:pPr>
              <w:pStyle w:val="Normal2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t xml:space="preserve">We </w:t>
            </w:r>
            <w:r w:rsidR="000B40A7" w:rsidRPr="000B40A7">
              <w:t xml:space="preserve">retain talented employees with </w:t>
            </w:r>
            <w:r>
              <w:t xml:space="preserve">a </w:t>
            </w:r>
            <w:r w:rsidR="000B40A7" w:rsidRPr="000B40A7">
              <w:t>disability</w:t>
            </w:r>
            <w:r>
              <w:t>.</w:t>
            </w:r>
          </w:p>
          <w:p w:rsidR="00DD36C9" w:rsidRDefault="00DD36C9" w:rsidP="00BF0EF8">
            <w:pPr>
              <w:pStyle w:val="Normal2"/>
              <w:spacing w:before="0" w:beforeAutospacing="0" w:after="0" w:afterAutospacing="0"/>
            </w:pPr>
          </w:p>
        </w:tc>
      </w:tr>
      <w:tr w:rsidR="00B32877" w:rsidTr="00A74816">
        <w:tc>
          <w:tcPr>
            <w:tcW w:w="9771" w:type="dxa"/>
            <w:gridSpan w:val="2"/>
            <w:shd w:val="clear" w:color="auto" w:fill="FFFFFF" w:themeFill="background1"/>
          </w:tcPr>
          <w:p w:rsidR="00B32877" w:rsidRPr="00B32877" w:rsidRDefault="00B32877" w:rsidP="00E04910">
            <w:pPr>
              <w:pStyle w:val="Normal2"/>
              <w:spacing w:before="0" w:beforeAutospacing="0" w:after="0" w:afterAutospacing="0"/>
              <w:rPr>
                <w:b/>
              </w:rPr>
            </w:pPr>
            <w:r w:rsidRPr="00B32877">
              <w:rPr>
                <w:b/>
              </w:rPr>
              <w:t>The Diversability processes we are implementing</w:t>
            </w:r>
            <w:r w:rsidR="00E04910">
              <w:rPr>
                <w:b/>
              </w:rPr>
              <w:t xml:space="preserve"> (</w:t>
            </w:r>
            <w:r w:rsidR="00E04910" w:rsidRPr="00E04910">
              <w:rPr>
                <w:i/>
              </w:rPr>
              <w:t xml:space="preserve">We ensure that the requirements below </w:t>
            </w:r>
            <w:r w:rsidR="00E04910">
              <w:rPr>
                <w:i/>
              </w:rPr>
              <w:t xml:space="preserve">are met by </w:t>
            </w:r>
            <w:r w:rsidR="00C00301">
              <w:rPr>
                <w:i/>
              </w:rPr>
              <w:t xml:space="preserve">the </w:t>
            </w:r>
            <w:r w:rsidR="00C00301" w:rsidRPr="00E04910">
              <w:rPr>
                <w:i/>
              </w:rPr>
              <w:t>recruitment</w:t>
            </w:r>
            <w:r w:rsidR="00E04910" w:rsidRPr="00E04910">
              <w:rPr>
                <w:i/>
              </w:rPr>
              <w:t xml:space="preserve"> agency we hire</w:t>
            </w:r>
            <w:r w:rsidR="00E04910">
              <w:rPr>
                <w:i/>
              </w:rPr>
              <w:t>.</w:t>
            </w:r>
            <w:r w:rsidR="00E04910" w:rsidRPr="00E04910">
              <w:rPr>
                <w:i/>
              </w:rPr>
              <w:t>)</w:t>
            </w:r>
          </w:p>
        </w:tc>
      </w:tr>
      <w:tr w:rsidR="00B32877" w:rsidTr="001C2D20">
        <w:tc>
          <w:tcPr>
            <w:tcW w:w="2122" w:type="dxa"/>
            <w:shd w:val="clear" w:color="auto" w:fill="FFFFFF" w:themeFill="background1"/>
          </w:tcPr>
          <w:p w:rsidR="00B3417A" w:rsidRDefault="00B32877" w:rsidP="00B3417A">
            <w:pPr>
              <w:pStyle w:val="Normal2"/>
            </w:pPr>
            <w:r>
              <w:t>Recruitment</w:t>
            </w:r>
            <w:r w:rsidR="00B3417A">
              <w:t xml:space="preserve"> – Position/job descriptions</w:t>
            </w:r>
          </w:p>
        </w:tc>
        <w:tc>
          <w:tcPr>
            <w:tcW w:w="7649" w:type="dxa"/>
            <w:shd w:val="clear" w:color="auto" w:fill="ECDFF5"/>
          </w:tcPr>
          <w:p w:rsidR="00B3417A" w:rsidRDefault="00B3417A" w:rsidP="00A722D6">
            <w:pPr>
              <w:pStyle w:val="Normal2"/>
              <w:spacing w:after="0" w:afterAutospacing="0"/>
            </w:pPr>
            <w:r>
              <w:t>We use an approach that allows both disabled and non-disabled applicants to discuss how they can meet the requirements of the job</w:t>
            </w:r>
            <w:r w:rsidR="00A722D6">
              <w:t xml:space="preserve"> by:</w:t>
            </w:r>
          </w:p>
          <w:p w:rsidR="00A722D6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Making sure all qualified candidates have the opportunity to highlight their relevant skills and expertise.</w:t>
            </w:r>
          </w:p>
          <w:p w:rsidR="00A722D6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Grouping job criteria into ‘essential’ and desirable aspects.</w:t>
            </w:r>
          </w:p>
          <w:p w:rsidR="00A722D6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Ranking the criteria in order of importance.</w:t>
            </w:r>
          </w:p>
          <w:p w:rsidR="00A722D6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Considering whether minor tasks could be reassigned to another person.</w:t>
            </w:r>
          </w:p>
          <w:p w:rsidR="00A722D6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Not including blanket requirements that exclude people with health or disability issues.</w:t>
            </w:r>
          </w:p>
          <w:p w:rsidR="00B32877" w:rsidRPr="00B3417A" w:rsidRDefault="00A722D6" w:rsidP="00A722D6">
            <w:pPr>
              <w:pStyle w:val="Normal2"/>
              <w:numPr>
                <w:ilvl w:val="0"/>
                <w:numId w:val="28"/>
              </w:numPr>
              <w:spacing w:before="0" w:beforeAutospacing="0" w:after="0" w:afterAutospacing="0"/>
            </w:pPr>
            <w:r>
              <w:t>Focussing on objectives rather than methods.</w:t>
            </w:r>
          </w:p>
        </w:tc>
      </w:tr>
      <w:tr w:rsidR="00A722D6" w:rsidTr="001C2D20">
        <w:tc>
          <w:tcPr>
            <w:tcW w:w="2122" w:type="dxa"/>
            <w:shd w:val="clear" w:color="auto" w:fill="ECDFF5"/>
          </w:tcPr>
          <w:p w:rsidR="00A722D6" w:rsidRDefault="00A722D6" w:rsidP="00B3417A">
            <w:pPr>
              <w:pStyle w:val="Normal2"/>
            </w:pPr>
            <w:r>
              <w:t>Recruitment – Advertising jobs</w:t>
            </w:r>
          </w:p>
        </w:tc>
        <w:tc>
          <w:tcPr>
            <w:tcW w:w="7649" w:type="dxa"/>
            <w:shd w:val="clear" w:color="auto" w:fill="FFFFFF" w:themeFill="background1"/>
          </w:tcPr>
          <w:p w:rsidR="00A722D6" w:rsidRDefault="001E092B" w:rsidP="00916796">
            <w:pPr>
              <w:pStyle w:val="Normal2"/>
              <w:numPr>
                <w:ilvl w:val="0"/>
                <w:numId w:val="29"/>
              </w:numPr>
            </w:pPr>
            <w:r>
              <w:t xml:space="preserve">We </w:t>
            </w:r>
            <w:r w:rsidRPr="001E092B">
              <w:t>encourage disabled applicants by specifically inviting them to apply.</w:t>
            </w:r>
          </w:p>
          <w:p w:rsidR="00BC1F8C" w:rsidRDefault="00BC1F8C" w:rsidP="00916796">
            <w:pPr>
              <w:pStyle w:val="Normal2"/>
              <w:numPr>
                <w:ilvl w:val="0"/>
                <w:numId w:val="29"/>
              </w:numPr>
            </w:pPr>
            <w:r>
              <w:t xml:space="preserve">Online recruitment </w:t>
            </w:r>
            <w:r w:rsidRPr="00BC1F8C">
              <w:t>websites are accessible to disabled people</w:t>
            </w:r>
            <w:r>
              <w:t>.</w:t>
            </w:r>
          </w:p>
          <w:p w:rsidR="00BC1F8C" w:rsidRPr="00BC1F8C" w:rsidRDefault="00BC1F8C" w:rsidP="00BC1F8C">
            <w:pPr>
              <w:pStyle w:val="Normal2"/>
              <w:numPr>
                <w:ilvl w:val="0"/>
                <w:numId w:val="29"/>
              </w:numPr>
            </w:pPr>
            <w:r>
              <w:t xml:space="preserve">We ensure that people with </w:t>
            </w:r>
            <w:r w:rsidRPr="00BC1F8C">
              <w:t xml:space="preserve">vision impairments can access the </w:t>
            </w:r>
            <w:r>
              <w:t xml:space="preserve">online recruitment websites by </w:t>
            </w:r>
            <w:r w:rsidRPr="00BC1F8C">
              <w:t>using screen reading software</w:t>
            </w:r>
            <w:r>
              <w:t xml:space="preserve">. </w:t>
            </w:r>
          </w:p>
        </w:tc>
      </w:tr>
    </w:tbl>
    <w:p w:rsidR="00760380" w:rsidRDefault="00760380"/>
    <w:p w:rsidR="00760380" w:rsidRDefault="00760380"/>
    <w:p w:rsidR="00760380" w:rsidRDefault="00760380"/>
    <w:p w:rsidR="00760380" w:rsidRDefault="00760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760380" w:rsidTr="004D0381">
        <w:tc>
          <w:tcPr>
            <w:tcW w:w="9771" w:type="dxa"/>
            <w:gridSpan w:val="2"/>
            <w:shd w:val="clear" w:color="auto" w:fill="ECDFF5"/>
          </w:tcPr>
          <w:p w:rsidR="00760380" w:rsidRPr="00760380" w:rsidRDefault="00760380" w:rsidP="00760380">
            <w:pPr>
              <w:pStyle w:val="Normal2"/>
            </w:pPr>
            <w:r w:rsidRPr="00B75BB8">
              <w:rPr>
                <w:b/>
              </w:rPr>
              <w:t xml:space="preserve">Diversability </w:t>
            </w:r>
            <w:r>
              <w:rPr>
                <w:i/>
              </w:rPr>
              <w:t>cont.</w:t>
            </w:r>
          </w:p>
        </w:tc>
      </w:tr>
      <w:tr w:rsidR="00760380" w:rsidTr="004D0381">
        <w:tc>
          <w:tcPr>
            <w:tcW w:w="2830" w:type="dxa"/>
            <w:shd w:val="clear" w:color="auto" w:fill="auto"/>
          </w:tcPr>
          <w:p w:rsidR="00760380" w:rsidRPr="00BC1F8C" w:rsidRDefault="00BC1F8C" w:rsidP="00BC1F8C">
            <w:pPr>
              <w:pStyle w:val="Normal2"/>
            </w:pPr>
            <w:r>
              <w:t>Job application</w:t>
            </w:r>
          </w:p>
        </w:tc>
        <w:tc>
          <w:tcPr>
            <w:tcW w:w="6941" w:type="dxa"/>
            <w:shd w:val="clear" w:color="auto" w:fill="ECDFF5"/>
          </w:tcPr>
          <w:p w:rsidR="00BC1F8C" w:rsidRDefault="00BC1F8C" w:rsidP="00BC1F8C">
            <w:pPr>
              <w:pStyle w:val="Normal2"/>
              <w:numPr>
                <w:ilvl w:val="0"/>
                <w:numId w:val="29"/>
              </w:numPr>
            </w:pPr>
            <w:r>
              <w:t xml:space="preserve">We ensure that our application forms </w:t>
            </w:r>
          </w:p>
          <w:p w:rsidR="00BC1F8C" w:rsidRDefault="00BC1F8C" w:rsidP="00BC1F8C">
            <w:pPr>
              <w:pStyle w:val="Normal2"/>
              <w:numPr>
                <w:ilvl w:val="1"/>
                <w:numId w:val="29"/>
              </w:numPr>
            </w:pPr>
            <w:r>
              <w:t>gather information that determines whether the job applicant can perform the job</w:t>
            </w:r>
            <w:r w:rsidR="00396F09">
              <w:t>;</w:t>
            </w:r>
          </w:p>
          <w:p w:rsidR="00760380" w:rsidRDefault="00BC1F8C" w:rsidP="00BC1F8C">
            <w:pPr>
              <w:pStyle w:val="Normal2"/>
              <w:numPr>
                <w:ilvl w:val="1"/>
                <w:numId w:val="29"/>
              </w:numPr>
            </w:pPr>
            <w:r>
              <w:t xml:space="preserve">are available in alternative formats. </w:t>
            </w:r>
          </w:p>
        </w:tc>
      </w:tr>
      <w:tr w:rsidR="00450CF5" w:rsidTr="00760380">
        <w:tc>
          <w:tcPr>
            <w:tcW w:w="2830" w:type="dxa"/>
            <w:shd w:val="clear" w:color="auto" w:fill="ECDFF5"/>
          </w:tcPr>
          <w:p w:rsidR="00450CF5" w:rsidRDefault="00450CF5" w:rsidP="00BC1F8C">
            <w:pPr>
              <w:pStyle w:val="Normal2"/>
            </w:pPr>
            <w:r>
              <w:t>Selection</w:t>
            </w:r>
          </w:p>
        </w:tc>
        <w:tc>
          <w:tcPr>
            <w:tcW w:w="6941" w:type="dxa"/>
            <w:shd w:val="clear" w:color="auto" w:fill="FFFFFF" w:themeFill="background1"/>
          </w:tcPr>
          <w:p w:rsidR="00450CF5" w:rsidRPr="00ED508A" w:rsidRDefault="00037CDC" w:rsidP="00037CDC">
            <w:pPr>
              <w:pStyle w:val="Normal2"/>
              <w:numPr>
                <w:ilvl w:val="0"/>
                <w:numId w:val="29"/>
              </w:numPr>
            </w:pPr>
            <w:r>
              <w:t>We ensure that during the selection process we will not place barriers in the way of qualified disabled candidate</w:t>
            </w:r>
            <w:r w:rsidR="00275EA6">
              <w:t>s</w:t>
            </w:r>
            <w:r>
              <w:t xml:space="preserve">. </w:t>
            </w:r>
          </w:p>
        </w:tc>
      </w:tr>
      <w:tr w:rsidR="00ED508A" w:rsidTr="00170220">
        <w:tc>
          <w:tcPr>
            <w:tcW w:w="2830" w:type="dxa"/>
            <w:shd w:val="clear" w:color="auto" w:fill="auto"/>
          </w:tcPr>
          <w:p w:rsidR="00275EA6" w:rsidRDefault="00ED508A" w:rsidP="00396F09">
            <w:pPr>
              <w:pStyle w:val="Normal2"/>
            </w:pPr>
            <w:r>
              <w:t>Interview</w:t>
            </w:r>
          </w:p>
        </w:tc>
        <w:tc>
          <w:tcPr>
            <w:tcW w:w="6941" w:type="dxa"/>
            <w:shd w:val="clear" w:color="auto" w:fill="ECDFF5"/>
          </w:tcPr>
          <w:p w:rsidR="00037CDC" w:rsidRDefault="00ED508A" w:rsidP="00037CDC">
            <w:pPr>
              <w:pStyle w:val="Normal2"/>
              <w:numPr>
                <w:ilvl w:val="0"/>
                <w:numId w:val="29"/>
              </w:numPr>
            </w:pPr>
            <w:r w:rsidRPr="00ED508A">
              <w:t xml:space="preserve">When arranging interviews, </w:t>
            </w:r>
            <w:r w:rsidR="00037CDC">
              <w:t>we a</w:t>
            </w:r>
            <w:r w:rsidRPr="00ED508A">
              <w:t>sk all interviewees whether they have any specific requirements</w:t>
            </w:r>
            <w:r w:rsidR="00037CDC">
              <w:t>; for example:</w:t>
            </w:r>
          </w:p>
          <w:p w:rsidR="00037CDC" w:rsidRDefault="00ED508A" w:rsidP="00037CDC">
            <w:pPr>
              <w:pStyle w:val="Normal2"/>
              <w:numPr>
                <w:ilvl w:val="1"/>
                <w:numId w:val="29"/>
              </w:numPr>
            </w:pPr>
            <w:r w:rsidRPr="00ED508A">
              <w:t>a wheelchair-accessible interview room</w:t>
            </w:r>
          </w:p>
          <w:p w:rsidR="00037CDC" w:rsidRDefault="00ED508A" w:rsidP="00037CDC">
            <w:pPr>
              <w:pStyle w:val="Normal2"/>
              <w:numPr>
                <w:ilvl w:val="1"/>
                <w:numId w:val="29"/>
              </w:numPr>
            </w:pPr>
            <w:r w:rsidRPr="00ED508A">
              <w:t xml:space="preserve">a </w:t>
            </w:r>
            <w:r w:rsidR="00275EA6">
              <w:t>s</w:t>
            </w:r>
            <w:r w:rsidRPr="00ED508A">
              <w:t xml:space="preserve">ign </w:t>
            </w:r>
            <w:r w:rsidR="00275EA6">
              <w:t>l</w:t>
            </w:r>
            <w:r w:rsidRPr="00ED508A">
              <w:t>anguage interpreter</w:t>
            </w:r>
          </w:p>
          <w:p w:rsidR="00037CDC" w:rsidRDefault="00275EA6" w:rsidP="00037CDC">
            <w:pPr>
              <w:pStyle w:val="Normal2"/>
              <w:numPr>
                <w:ilvl w:val="1"/>
                <w:numId w:val="29"/>
              </w:numPr>
            </w:pPr>
            <w:r w:rsidRPr="00ED508A">
              <w:t>longer</w:t>
            </w:r>
            <w:r w:rsidR="00ED508A" w:rsidRPr="00ED508A">
              <w:t xml:space="preserve"> time to answer questions</w:t>
            </w:r>
          </w:p>
          <w:p w:rsidR="00037CDC" w:rsidRDefault="00ED508A" w:rsidP="00037CDC">
            <w:pPr>
              <w:pStyle w:val="Normal2"/>
              <w:numPr>
                <w:ilvl w:val="1"/>
                <w:numId w:val="29"/>
              </w:numPr>
            </w:pPr>
            <w:r w:rsidRPr="00ED508A">
              <w:t>hearing loop.</w:t>
            </w:r>
          </w:p>
          <w:p w:rsidR="00037CDC" w:rsidRDefault="00ED508A" w:rsidP="00037CDC">
            <w:pPr>
              <w:pStyle w:val="Normal2"/>
              <w:numPr>
                <w:ilvl w:val="0"/>
                <w:numId w:val="29"/>
              </w:numPr>
            </w:pPr>
            <w:r w:rsidRPr="00ED508A">
              <w:t>If an applicant declares a disability</w:t>
            </w:r>
            <w:r w:rsidR="00037CDC">
              <w:t xml:space="preserve"> we will </w:t>
            </w:r>
            <w:r w:rsidRPr="00ED508A">
              <w:t>contact them as soon as possible to make sure any accessibility requirements are met</w:t>
            </w:r>
            <w:r w:rsidR="00037CDC">
              <w:t>.</w:t>
            </w:r>
          </w:p>
          <w:p w:rsidR="00037CDC" w:rsidRDefault="00037CDC" w:rsidP="00037CDC">
            <w:pPr>
              <w:pStyle w:val="Normal2"/>
              <w:numPr>
                <w:ilvl w:val="0"/>
                <w:numId w:val="29"/>
              </w:numPr>
            </w:pPr>
            <w:r>
              <w:t xml:space="preserve">We </w:t>
            </w:r>
            <w:r w:rsidR="00ED508A" w:rsidRPr="00ED508A">
              <w:t>brief the receptionist and interviewers on the candidate’s specific requirements.</w:t>
            </w:r>
          </w:p>
          <w:p w:rsidR="00275EA6" w:rsidRPr="00ED508A" w:rsidRDefault="00ED508A" w:rsidP="00275EA6">
            <w:pPr>
              <w:pStyle w:val="Normal2"/>
              <w:numPr>
                <w:ilvl w:val="0"/>
                <w:numId w:val="29"/>
              </w:numPr>
            </w:pPr>
            <w:r w:rsidRPr="00ED508A">
              <w:t>When interviewing disabled candidates,</w:t>
            </w:r>
            <w:r w:rsidR="00275EA6">
              <w:t xml:space="preserve"> we </w:t>
            </w:r>
            <w:r w:rsidRPr="00ED508A">
              <w:t xml:space="preserve">ask </w:t>
            </w:r>
            <w:r w:rsidR="00396F09">
              <w:t xml:space="preserve">the same </w:t>
            </w:r>
            <w:r w:rsidRPr="00ED508A">
              <w:t xml:space="preserve">questions that would be asked of a non-disabled person. </w:t>
            </w:r>
          </w:p>
        </w:tc>
      </w:tr>
      <w:tr w:rsidR="00ED508A" w:rsidTr="00760380">
        <w:tc>
          <w:tcPr>
            <w:tcW w:w="2830" w:type="dxa"/>
            <w:shd w:val="clear" w:color="auto" w:fill="ECDFF5"/>
          </w:tcPr>
          <w:p w:rsidR="00ED508A" w:rsidRPr="00ED508A" w:rsidRDefault="00ED508A" w:rsidP="00ED508A">
            <w:pPr>
              <w:pStyle w:val="Normal2"/>
            </w:pPr>
            <w:r w:rsidRPr="00ED508A">
              <w:t>Adjustments to tests</w:t>
            </w:r>
          </w:p>
        </w:tc>
        <w:tc>
          <w:tcPr>
            <w:tcW w:w="6941" w:type="dxa"/>
            <w:shd w:val="clear" w:color="auto" w:fill="FFFFFF" w:themeFill="background1"/>
          </w:tcPr>
          <w:p w:rsidR="00396F09" w:rsidRDefault="00396F09" w:rsidP="00396F09">
            <w:pPr>
              <w:pStyle w:val="Normal2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 xml:space="preserve">We ensure </w:t>
            </w:r>
            <w:r w:rsidR="00ED508A" w:rsidRPr="00ED508A">
              <w:t>assessments are in an accessible format and relate to the requirements of the job</w:t>
            </w:r>
          </w:p>
          <w:p w:rsidR="00396F09" w:rsidRDefault="00396F09" w:rsidP="00396F09">
            <w:pPr>
              <w:pStyle w:val="Normal2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We may make a</w:t>
            </w:r>
            <w:r w:rsidRPr="00ED508A">
              <w:t>djustments</w:t>
            </w:r>
            <w:r w:rsidR="00ED508A" w:rsidRPr="00ED508A">
              <w:t xml:space="preserve"> to tests</w:t>
            </w:r>
            <w:r>
              <w:t>; for example:</w:t>
            </w:r>
          </w:p>
          <w:p w:rsidR="00396F09" w:rsidRDefault="00ED508A" w:rsidP="00396F09">
            <w:pPr>
              <w:pStyle w:val="Normal2"/>
              <w:numPr>
                <w:ilvl w:val="1"/>
                <w:numId w:val="30"/>
              </w:numPr>
              <w:spacing w:before="0" w:beforeAutospacing="0" w:after="0" w:afterAutospacing="0"/>
            </w:pPr>
            <w:r w:rsidRPr="00ED508A">
              <w:t>allowing extra time to complete a test</w:t>
            </w:r>
          </w:p>
          <w:p w:rsidR="00396F09" w:rsidRDefault="00ED508A" w:rsidP="00396F09">
            <w:pPr>
              <w:pStyle w:val="Normal2"/>
              <w:numPr>
                <w:ilvl w:val="1"/>
                <w:numId w:val="30"/>
              </w:numPr>
              <w:spacing w:before="0" w:beforeAutospacing="0" w:after="0" w:afterAutospacing="0"/>
            </w:pPr>
            <w:r w:rsidRPr="00ED508A">
              <w:t>allowing an oral test where a candidate has difficulty with manual dexterity</w:t>
            </w:r>
          </w:p>
          <w:p w:rsidR="00396F09" w:rsidRDefault="00ED508A" w:rsidP="00396F09">
            <w:pPr>
              <w:pStyle w:val="Normal2"/>
              <w:numPr>
                <w:ilvl w:val="1"/>
                <w:numId w:val="30"/>
              </w:numPr>
              <w:spacing w:before="0" w:beforeAutospacing="0" w:after="0" w:afterAutospacing="0"/>
            </w:pPr>
            <w:r w:rsidRPr="00ED508A">
              <w:t xml:space="preserve">using technology for blind </w:t>
            </w:r>
            <w:r w:rsidR="00396F09">
              <w:t>people</w:t>
            </w:r>
          </w:p>
          <w:p w:rsidR="00ED508A" w:rsidRPr="00ED508A" w:rsidRDefault="00ED508A" w:rsidP="00396F09">
            <w:pPr>
              <w:pStyle w:val="Normal2"/>
              <w:numPr>
                <w:ilvl w:val="1"/>
                <w:numId w:val="30"/>
              </w:numPr>
              <w:spacing w:before="0" w:beforeAutospacing="0" w:after="0" w:afterAutospacing="0"/>
            </w:pPr>
            <w:r w:rsidRPr="00ED508A">
              <w:t>letting a reader or scribe help with reading or writing during a test.</w:t>
            </w:r>
          </w:p>
        </w:tc>
      </w:tr>
      <w:tr w:rsidR="00652B60" w:rsidTr="00170220">
        <w:tc>
          <w:tcPr>
            <w:tcW w:w="2830" w:type="dxa"/>
            <w:shd w:val="clear" w:color="auto" w:fill="auto"/>
          </w:tcPr>
          <w:p w:rsidR="00652B60" w:rsidRPr="00ED508A" w:rsidRDefault="00652B60" w:rsidP="00ED508A">
            <w:pPr>
              <w:pStyle w:val="Normal2"/>
            </w:pPr>
            <w:r>
              <w:t>Induction</w:t>
            </w:r>
            <w:r w:rsidR="00396F09">
              <w:t xml:space="preserve"> – on-boarding</w:t>
            </w:r>
          </w:p>
        </w:tc>
        <w:tc>
          <w:tcPr>
            <w:tcW w:w="6941" w:type="dxa"/>
            <w:shd w:val="clear" w:color="auto" w:fill="ECDFF5"/>
          </w:tcPr>
          <w:p w:rsidR="00396F09" w:rsidRDefault="00396F09" w:rsidP="00396F09">
            <w:pPr>
              <w:pStyle w:val="Normal2"/>
              <w:numPr>
                <w:ilvl w:val="0"/>
                <w:numId w:val="32"/>
              </w:numPr>
            </w:pPr>
            <w:r>
              <w:t>We a</w:t>
            </w:r>
            <w:r w:rsidR="00652B60" w:rsidRPr="0092129A">
              <w:t>ssigning another staff member to support a new employee for a specified time</w:t>
            </w:r>
            <w:r>
              <w:t xml:space="preserve">. </w:t>
            </w:r>
            <w:r w:rsidR="00652B60" w:rsidRPr="0092129A">
              <w:t xml:space="preserve"> </w:t>
            </w:r>
            <w:r>
              <w:t>(</w:t>
            </w:r>
            <w:r w:rsidR="00652B60" w:rsidRPr="0092129A">
              <w:t>This is good practice for inducting both disabled and non-disabled employees</w:t>
            </w:r>
            <w:r>
              <w:t>)</w:t>
            </w:r>
            <w:r w:rsidR="00652B60" w:rsidRPr="0092129A">
              <w:t xml:space="preserve">. </w:t>
            </w:r>
          </w:p>
          <w:p w:rsidR="009C4E42" w:rsidRDefault="00396F09" w:rsidP="009C4E42">
            <w:pPr>
              <w:pStyle w:val="Normal2"/>
              <w:numPr>
                <w:ilvl w:val="0"/>
                <w:numId w:val="32"/>
              </w:numPr>
            </w:pPr>
            <w:r>
              <w:t xml:space="preserve">We </w:t>
            </w:r>
            <w:r w:rsidR="009C4E42">
              <w:t>will have identified modification of the workspace before the person starts working.</w:t>
            </w:r>
          </w:p>
          <w:p w:rsidR="009C4E42" w:rsidRDefault="009C4E42" w:rsidP="009C4E42">
            <w:pPr>
              <w:pStyle w:val="Normal2"/>
              <w:numPr>
                <w:ilvl w:val="0"/>
                <w:numId w:val="32"/>
              </w:numPr>
            </w:pPr>
            <w:r>
              <w:t>We check that the work environment is accessible to the person.</w:t>
            </w:r>
          </w:p>
          <w:p w:rsidR="00652B60" w:rsidRPr="00ED508A" w:rsidRDefault="00652B60" w:rsidP="009C4E42">
            <w:pPr>
              <w:pStyle w:val="Normal2"/>
              <w:numPr>
                <w:ilvl w:val="0"/>
                <w:numId w:val="32"/>
              </w:numPr>
            </w:pPr>
            <w:r w:rsidRPr="0092129A">
              <w:t xml:space="preserve">If unexpected issues concerning accessibility or reasonable </w:t>
            </w:r>
            <w:r w:rsidR="009C4E42">
              <w:t xml:space="preserve">modification </w:t>
            </w:r>
            <w:r w:rsidRPr="0092129A">
              <w:t xml:space="preserve">arise, </w:t>
            </w:r>
            <w:r w:rsidR="009C4E42">
              <w:t xml:space="preserve">we will </w:t>
            </w:r>
            <w:r w:rsidRPr="0092129A">
              <w:t>discuss and resolve them as soon as possible, to enable all employees to be successful</w:t>
            </w:r>
            <w:r w:rsidR="009C4E42">
              <w:t>.</w:t>
            </w:r>
          </w:p>
        </w:tc>
      </w:tr>
      <w:tr w:rsidR="0092129A" w:rsidTr="00760380">
        <w:tc>
          <w:tcPr>
            <w:tcW w:w="2830" w:type="dxa"/>
            <w:shd w:val="clear" w:color="auto" w:fill="ECDFF5"/>
          </w:tcPr>
          <w:p w:rsidR="00361601" w:rsidRDefault="00361601" w:rsidP="00ED508A">
            <w:pPr>
              <w:pStyle w:val="Normal2"/>
            </w:pPr>
            <w:r>
              <w:t>D</w:t>
            </w:r>
            <w:r w:rsidR="0092129A">
              <w:t>evelopment</w:t>
            </w:r>
          </w:p>
        </w:tc>
        <w:tc>
          <w:tcPr>
            <w:tcW w:w="6941" w:type="dxa"/>
            <w:shd w:val="clear" w:color="auto" w:fill="FFFFFF" w:themeFill="background1"/>
          </w:tcPr>
          <w:p w:rsidR="00361601" w:rsidRDefault="00361601" w:rsidP="00361601">
            <w:pPr>
              <w:pStyle w:val="Normal2"/>
              <w:numPr>
                <w:ilvl w:val="0"/>
                <w:numId w:val="33"/>
              </w:numPr>
            </w:pPr>
            <w:r>
              <w:t xml:space="preserve">We make </w:t>
            </w:r>
            <w:r w:rsidR="0092129A" w:rsidRPr="0092129A">
              <w:t xml:space="preserve">courses and training fully inclusive. </w:t>
            </w:r>
          </w:p>
          <w:p w:rsidR="00361601" w:rsidRDefault="00361601" w:rsidP="00B52D17">
            <w:pPr>
              <w:pStyle w:val="Normal2"/>
              <w:numPr>
                <w:ilvl w:val="0"/>
                <w:numId w:val="33"/>
              </w:numPr>
            </w:pPr>
            <w:r>
              <w:t>We e</w:t>
            </w:r>
            <w:r w:rsidR="0092129A" w:rsidRPr="0092129A">
              <w:t xml:space="preserve">nsure venues are accessible and training material is appropriately presented – the </w:t>
            </w:r>
            <w:hyperlink r:id="rId25" w:history="1">
              <w:r w:rsidR="0092129A" w:rsidRPr="00361601">
                <w:rPr>
                  <w:rStyle w:val="Hyperlink"/>
                </w:rPr>
                <w:t>Accessible Meetings and Events checklist</w:t>
              </w:r>
            </w:hyperlink>
            <w:r w:rsidR="0092129A" w:rsidRPr="0092129A">
              <w:t xml:space="preserve"> can assist.</w:t>
            </w:r>
          </w:p>
          <w:p w:rsidR="00844DF9" w:rsidRDefault="00844DF9" w:rsidP="00844DF9">
            <w:pPr>
              <w:pStyle w:val="Normal2"/>
              <w:numPr>
                <w:ilvl w:val="0"/>
                <w:numId w:val="33"/>
              </w:numPr>
            </w:pPr>
            <w:r>
              <w:t>We o</w:t>
            </w:r>
            <w:r w:rsidR="0092129A" w:rsidRPr="0092129A">
              <w:t>ffer open and flexible learning as an alternative to venue-based learning.</w:t>
            </w:r>
          </w:p>
          <w:p w:rsidR="00844DF9" w:rsidRDefault="00844DF9" w:rsidP="00844DF9">
            <w:pPr>
              <w:pStyle w:val="Normal2"/>
              <w:numPr>
                <w:ilvl w:val="0"/>
                <w:numId w:val="33"/>
              </w:numPr>
            </w:pPr>
            <w:r>
              <w:t>We c</w:t>
            </w:r>
            <w:r w:rsidR="0092129A" w:rsidRPr="0092129A">
              <w:t>heck trainers are aware o</w:t>
            </w:r>
            <w:r>
              <w:t>f the needs of disabled people.</w:t>
            </w:r>
          </w:p>
          <w:p w:rsidR="0092129A" w:rsidRPr="0092129A" w:rsidRDefault="00844DF9" w:rsidP="00E851EA">
            <w:pPr>
              <w:pStyle w:val="Normal2"/>
              <w:numPr>
                <w:ilvl w:val="0"/>
                <w:numId w:val="33"/>
              </w:numPr>
            </w:pPr>
            <w:r>
              <w:t>We v</w:t>
            </w:r>
            <w:r w:rsidR="0092129A" w:rsidRPr="0092129A">
              <w:t>ary the learning methods, as different people learn in different ways.</w:t>
            </w:r>
          </w:p>
        </w:tc>
      </w:tr>
    </w:tbl>
    <w:p w:rsidR="00170220" w:rsidRDefault="00170220"/>
    <w:p w:rsidR="00170220" w:rsidRDefault="00170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170220" w:rsidTr="00170220">
        <w:tc>
          <w:tcPr>
            <w:tcW w:w="9771" w:type="dxa"/>
            <w:gridSpan w:val="2"/>
            <w:shd w:val="clear" w:color="auto" w:fill="E4D2F2"/>
          </w:tcPr>
          <w:p w:rsidR="00170220" w:rsidRDefault="00170220" w:rsidP="00170220">
            <w:pPr>
              <w:pStyle w:val="Normal2"/>
            </w:pPr>
            <w:r w:rsidRPr="00B75BB8">
              <w:rPr>
                <w:b/>
              </w:rPr>
              <w:t xml:space="preserve">Diversability </w:t>
            </w:r>
            <w:r>
              <w:rPr>
                <w:i/>
              </w:rPr>
              <w:t>cont.</w:t>
            </w:r>
          </w:p>
        </w:tc>
      </w:tr>
      <w:tr w:rsidR="00EC7796" w:rsidTr="00170220">
        <w:tc>
          <w:tcPr>
            <w:tcW w:w="2830" w:type="dxa"/>
            <w:shd w:val="clear" w:color="auto" w:fill="auto"/>
          </w:tcPr>
          <w:p w:rsidR="00EC7796" w:rsidRDefault="00EC7796" w:rsidP="00ED508A">
            <w:pPr>
              <w:pStyle w:val="Normal2"/>
            </w:pPr>
            <w:r>
              <w:t>Performance management</w:t>
            </w:r>
          </w:p>
        </w:tc>
        <w:tc>
          <w:tcPr>
            <w:tcW w:w="6941" w:type="dxa"/>
            <w:shd w:val="clear" w:color="auto" w:fill="ECDFF5"/>
          </w:tcPr>
          <w:p w:rsidR="00E851EA" w:rsidRDefault="00E851EA" w:rsidP="00E851EA">
            <w:pPr>
              <w:pStyle w:val="Normal2"/>
              <w:numPr>
                <w:ilvl w:val="0"/>
                <w:numId w:val="34"/>
              </w:numPr>
            </w:pPr>
            <w:r>
              <w:t xml:space="preserve">We manage </w:t>
            </w:r>
            <w:r w:rsidR="00EC7796" w:rsidRPr="00EC7796">
              <w:t xml:space="preserve">the performance of disabled employees </w:t>
            </w:r>
            <w:r>
              <w:t xml:space="preserve">by using the same processes like we use for other employees. </w:t>
            </w:r>
          </w:p>
          <w:p w:rsidR="00E851EA" w:rsidRDefault="00E851EA" w:rsidP="00E851EA">
            <w:pPr>
              <w:pStyle w:val="Normal2"/>
              <w:numPr>
                <w:ilvl w:val="0"/>
                <w:numId w:val="34"/>
              </w:numPr>
            </w:pPr>
            <w:r>
              <w:t>We support disabled employees to participate the performance management process.</w:t>
            </w:r>
          </w:p>
          <w:p w:rsidR="00E851EA" w:rsidRDefault="00E851EA" w:rsidP="00E851EA">
            <w:pPr>
              <w:pStyle w:val="Normal2"/>
              <w:numPr>
                <w:ilvl w:val="0"/>
                <w:numId w:val="34"/>
              </w:numPr>
            </w:pPr>
            <w:r>
              <w:t>We have reasonable accommodations in place; for example:</w:t>
            </w:r>
          </w:p>
          <w:p w:rsidR="00E851EA" w:rsidRDefault="00EC7796" w:rsidP="00E851EA">
            <w:pPr>
              <w:pStyle w:val="Normal2"/>
              <w:numPr>
                <w:ilvl w:val="1"/>
                <w:numId w:val="34"/>
              </w:numPr>
            </w:pPr>
            <w:r w:rsidRPr="00EC7796">
              <w:t xml:space="preserve">flexibility around breaks and timeframes </w:t>
            </w:r>
          </w:p>
          <w:p w:rsidR="00E851EA" w:rsidRDefault="00E851EA" w:rsidP="00E851EA">
            <w:pPr>
              <w:pStyle w:val="Normal2"/>
              <w:numPr>
                <w:ilvl w:val="1"/>
                <w:numId w:val="34"/>
              </w:numPr>
            </w:pPr>
            <w:r>
              <w:t xml:space="preserve">we may </w:t>
            </w:r>
            <w:r w:rsidR="00EC7796" w:rsidRPr="00EC7796">
              <w:t>assign extra time for meetings</w:t>
            </w:r>
          </w:p>
          <w:p w:rsidR="00E851EA" w:rsidRDefault="00E851EA" w:rsidP="00E851EA">
            <w:pPr>
              <w:pStyle w:val="Normal2"/>
              <w:numPr>
                <w:ilvl w:val="1"/>
                <w:numId w:val="34"/>
              </w:numPr>
            </w:pPr>
            <w:r>
              <w:t>we use sign language interpreters</w:t>
            </w:r>
          </w:p>
          <w:p w:rsidR="00E851EA" w:rsidRDefault="00E851EA" w:rsidP="00E851EA">
            <w:pPr>
              <w:pStyle w:val="Normal2"/>
              <w:numPr>
                <w:ilvl w:val="1"/>
                <w:numId w:val="34"/>
              </w:numPr>
            </w:pPr>
            <w:r>
              <w:t xml:space="preserve">we provide </w:t>
            </w:r>
            <w:r w:rsidR="00EC7796" w:rsidRPr="00EC7796">
              <w:t>additional training or coaching</w:t>
            </w:r>
          </w:p>
          <w:p w:rsidR="00E851EA" w:rsidRDefault="00E851EA" w:rsidP="00E851EA">
            <w:pPr>
              <w:pStyle w:val="Normal2"/>
              <w:numPr>
                <w:ilvl w:val="1"/>
                <w:numId w:val="34"/>
              </w:numPr>
            </w:pPr>
            <w:r>
              <w:t xml:space="preserve">we might </w:t>
            </w:r>
            <w:r w:rsidR="00EC7796" w:rsidRPr="00EC7796">
              <w:t>reallocat</w:t>
            </w:r>
            <w:r>
              <w:t xml:space="preserve">e </w:t>
            </w:r>
            <w:r w:rsidR="00EC7796" w:rsidRPr="00EC7796">
              <w:t>work that is not a core requirement.</w:t>
            </w:r>
          </w:p>
          <w:p w:rsidR="00E851EA" w:rsidRDefault="00E851EA" w:rsidP="00E851EA">
            <w:pPr>
              <w:pStyle w:val="Normal2"/>
              <w:numPr>
                <w:ilvl w:val="0"/>
                <w:numId w:val="34"/>
              </w:numPr>
            </w:pPr>
            <w:r>
              <w:t xml:space="preserve">We are cognisant </w:t>
            </w:r>
            <w:r w:rsidR="00EC7796" w:rsidRPr="00EC7796">
              <w:t>that activities and tasks do not need to be undertaken exactly the same</w:t>
            </w:r>
            <w:r w:rsidR="00EC7796">
              <w:t xml:space="preserve"> </w:t>
            </w:r>
            <w:r w:rsidR="00EC7796" w:rsidRPr="00EC7796">
              <w:t>way – it is the results that matter.</w:t>
            </w:r>
            <w:r>
              <w:t xml:space="preserve"> </w:t>
            </w:r>
          </w:p>
          <w:p w:rsidR="00EC7796" w:rsidRPr="00EC7796" w:rsidRDefault="00EC7796" w:rsidP="00E851EA">
            <w:pPr>
              <w:pStyle w:val="Normal2"/>
              <w:numPr>
                <w:ilvl w:val="0"/>
                <w:numId w:val="34"/>
              </w:numPr>
            </w:pPr>
            <w:r w:rsidRPr="00EC7796">
              <w:t xml:space="preserve">If </w:t>
            </w:r>
            <w:r w:rsidR="00E851EA">
              <w:t>we</w:t>
            </w:r>
            <w:r w:rsidRPr="00EC7796">
              <w:t xml:space="preserve"> identify difficulties that result from an impairment, whenever possible </w:t>
            </w:r>
            <w:r w:rsidR="00C97D65">
              <w:t xml:space="preserve">we </w:t>
            </w:r>
            <w:r w:rsidRPr="00EC7796">
              <w:t>discuss these separately from any discussion of performance issues.</w:t>
            </w:r>
          </w:p>
        </w:tc>
      </w:tr>
      <w:tr w:rsidR="00EC7796" w:rsidTr="00760380">
        <w:tc>
          <w:tcPr>
            <w:tcW w:w="2830" w:type="dxa"/>
            <w:shd w:val="clear" w:color="auto" w:fill="ECDFF5"/>
          </w:tcPr>
          <w:p w:rsidR="00EC7796" w:rsidRDefault="00EC7796" w:rsidP="00ED508A">
            <w:pPr>
              <w:pStyle w:val="Normal2"/>
            </w:pPr>
            <w:r>
              <w:t>Retention</w:t>
            </w:r>
          </w:p>
        </w:tc>
        <w:tc>
          <w:tcPr>
            <w:tcW w:w="6941" w:type="dxa"/>
            <w:shd w:val="clear" w:color="auto" w:fill="FFFFFF" w:themeFill="background1"/>
          </w:tcPr>
          <w:p w:rsidR="004C47F9" w:rsidRDefault="00EC7796" w:rsidP="004C47F9">
            <w:pPr>
              <w:pStyle w:val="Normal2"/>
              <w:numPr>
                <w:ilvl w:val="0"/>
                <w:numId w:val="35"/>
              </w:numPr>
            </w:pPr>
            <w:r w:rsidRPr="00EC7796">
              <w:t xml:space="preserve">Being proactive about retaining disabled staff has a number of benefits for </w:t>
            </w:r>
            <w:r w:rsidR="004C47F9">
              <w:t>our organisation; for example</w:t>
            </w:r>
          </w:p>
          <w:p w:rsidR="004C47F9" w:rsidRDefault="00EC7796" w:rsidP="004C47F9">
            <w:pPr>
              <w:pStyle w:val="Normal2"/>
              <w:numPr>
                <w:ilvl w:val="1"/>
                <w:numId w:val="35"/>
              </w:numPr>
            </w:pPr>
            <w:r w:rsidRPr="00EC7796">
              <w:t>Adaptability: by learning to manage their disability or health issues, disabled people have learned problem solving skills that are readily applicable to any modern workplace.</w:t>
            </w:r>
          </w:p>
          <w:p w:rsidR="004C47F9" w:rsidRDefault="00EC7796" w:rsidP="004C47F9">
            <w:pPr>
              <w:pStyle w:val="Normal2"/>
              <w:numPr>
                <w:ilvl w:val="1"/>
                <w:numId w:val="35"/>
              </w:numPr>
            </w:pPr>
            <w:r w:rsidRPr="00EC7796">
              <w:t xml:space="preserve">Increased staff morale: By treating all employees fairly, including disabled people, </w:t>
            </w:r>
            <w:r w:rsidR="004C47F9">
              <w:t xml:space="preserve">we </w:t>
            </w:r>
            <w:r w:rsidRPr="00EC7796">
              <w:t xml:space="preserve">demonstrate that </w:t>
            </w:r>
            <w:r w:rsidR="004C47F9">
              <w:t xml:space="preserve">we </w:t>
            </w:r>
            <w:r w:rsidRPr="00EC7796">
              <w:t>are a good employer.</w:t>
            </w:r>
          </w:p>
          <w:p w:rsidR="004C47F9" w:rsidRDefault="00EC7796" w:rsidP="004C47F9">
            <w:pPr>
              <w:pStyle w:val="Normal2"/>
              <w:numPr>
                <w:ilvl w:val="1"/>
                <w:numId w:val="35"/>
              </w:numPr>
            </w:pPr>
            <w:r w:rsidRPr="00EC7796">
              <w:t>Lower costs: improving retention through providing reasonable accommodation always costs less than having to recruit and train a new employee. It also increases the number of employees returning to work after a short- or long-term absence and reduces the costs associated with absences in the workplace.</w:t>
            </w:r>
          </w:p>
          <w:p w:rsidR="0048075E" w:rsidRPr="0048075E" w:rsidRDefault="00EC7796" w:rsidP="004C47F9">
            <w:pPr>
              <w:pStyle w:val="Normal2"/>
              <w:numPr>
                <w:ilvl w:val="1"/>
                <w:numId w:val="35"/>
              </w:numPr>
              <w:spacing w:before="0" w:beforeAutospacing="0" w:after="0" w:afterAutospacing="0"/>
            </w:pPr>
            <w:r w:rsidRPr="00EC7796">
              <w:t xml:space="preserve">Public reputation: Being recognised as a good employer enhances </w:t>
            </w:r>
            <w:r w:rsidR="004C47F9">
              <w:t xml:space="preserve">our </w:t>
            </w:r>
            <w:r w:rsidRPr="00EC7796">
              <w:t>reputation with the New Zealand public.</w:t>
            </w:r>
            <w:r w:rsidR="004C47F9">
              <w:t xml:space="preserve"> </w:t>
            </w:r>
            <w:r w:rsidRPr="00EC7796">
              <w:t xml:space="preserve">Feeling valued is important to all employees. Ensuring that training and career development opportunities exist is one way to demonstrate how </w:t>
            </w:r>
            <w:r w:rsidR="004C47F9">
              <w:t xml:space="preserve">we </w:t>
            </w:r>
            <w:r w:rsidRPr="00EC7796">
              <w:t xml:space="preserve">value all employees, including </w:t>
            </w:r>
            <w:r w:rsidR="004C47F9">
              <w:t>d</w:t>
            </w:r>
            <w:r w:rsidRPr="00EC7796">
              <w:t>isabled employees.</w:t>
            </w:r>
            <w:r w:rsidR="004C47F9">
              <w:t xml:space="preserve"> </w:t>
            </w:r>
          </w:p>
        </w:tc>
      </w:tr>
    </w:tbl>
    <w:p w:rsidR="000850B9" w:rsidRDefault="000850B9"/>
    <w:p w:rsidR="000850B9" w:rsidRDefault="000850B9"/>
    <w:p w:rsidR="000850B9" w:rsidRDefault="000850B9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p w:rsidR="00D342E4" w:rsidRDefault="00D34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D342E4" w:rsidTr="00EB115C">
        <w:tc>
          <w:tcPr>
            <w:tcW w:w="9771" w:type="dxa"/>
            <w:gridSpan w:val="2"/>
            <w:shd w:val="clear" w:color="auto" w:fill="BDD6EE" w:themeFill="accent1" w:themeFillTint="66"/>
          </w:tcPr>
          <w:p w:rsidR="00D342E4" w:rsidRDefault="00D342E4" w:rsidP="004D5420">
            <w:pPr>
              <w:pStyle w:val="Normal2"/>
              <w:spacing w:before="0" w:beforeAutospacing="0" w:after="0" w:afterAutospacing="0"/>
            </w:pPr>
            <w:r>
              <w:rPr>
                <w:rStyle w:val="Strong"/>
              </w:rPr>
              <w:t>LGBTQ (</w:t>
            </w:r>
            <w:r>
              <w:rPr>
                <w:rStyle w:val="acopre"/>
              </w:rPr>
              <w:t>lesbian, gay, bisexual, transgender and queer or questioning)</w:t>
            </w:r>
            <w:r w:rsidR="00E8594D">
              <w:rPr>
                <w:noProof/>
              </w:rPr>
              <w:t xml:space="preserve"> </w:t>
            </w:r>
            <w:r w:rsidR="00E8594D">
              <w:rPr>
                <w:noProof/>
              </w:rPr>
              <w:drawing>
                <wp:inline distT="0" distB="0" distL="0" distR="0" wp14:anchorId="278AF134" wp14:editId="18542F2F">
                  <wp:extent cx="1581150" cy="371475"/>
                  <wp:effectExtent l="0" t="0" r="0" b="9525"/>
                  <wp:docPr id="17" name="Picture 17" descr="This png image - Transparent Rainbow PNG Free Clip Art Image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item-id-14564" descr="This png image - Transparent Rainbow PNG Free Clip Art Image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94D">
              <w:rPr>
                <w:rStyle w:val="acopre"/>
              </w:rPr>
              <w:tab/>
            </w:r>
          </w:p>
        </w:tc>
      </w:tr>
      <w:tr w:rsidR="00D342E4" w:rsidTr="004D5420">
        <w:trPr>
          <w:trHeight w:val="2863"/>
        </w:trPr>
        <w:tc>
          <w:tcPr>
            <w:tcW w:w="2263" w:type="dxa"/>
            <w:shd w:val="clear" w:color="auto" w:fill="8EAADB" w:themeFill="accent5" w:themeFillTint="99"/>
          </w:tcPr>
          <w:p w:rsidR="00D342E4" w:rsidRDefault="0087726F" w:rsidP="0087726F">
            <w:pPr>
              <w:pStyle w:val="Normal2"/>
            </w:pPr>
            <w:r>
              <w:t xml:space="preserve">Our LGBTQ mission </w:t>
            </w:r>
          </w:p>
          <w:p w:rsidR="00E8594D" w:rsidRDefault="00E8594D" w:rsidP="0087726F">
            <w:pPr>
              <w:pStyle w:val="Normal2"/>
              <w:rPr>
                <w:rFonts w:ascii="Times New Roman" w:hAnsi="Times New Roman"/>
              </w:rPr>
            </w:pPr>
          </w:p>
        </w:tc>
        <w:tc>
          <w:tcPr>
            <w:tcW w:w="7508" w:type="dxa"/>
            <w:shd w:val="clear" w:color="auto" w:fill="FFFFFF" w:themeFill="background1"/>
          </w:tcPr>
          <w:p w:rsidR="0087726F" w:rsidRDefault="0087726F" w:rsidP="0087726F">
            <w:pPr>
              <w:pStyle w:val="Normal2"/>
              <w:numPr>
                <w:ilvl w:val="0"/>
                <w:numId w:val="35"/>
              </w:numPr>
            </w:pPr>
            <w:r>
              <w:t xml:space="preserve">We will not tolerate </w:t>
            </w:r>
            <w:r w:rsidRPr="0087726F">
              <w:t>workplace discrimination</w:t>
            </w:r>
            <w:r>
              <w:t>.</w:t>
            </w:r>
          </w:p>
          <w:p w:rsidR="0087726F" w:rsidRDefault="0087726F" w:rsidP="0087726F">
            <w:pPr>
              <w:pStyle w:val="Normal2"/>
              <w:numPr>
                <w:ilvl w:val="0"/>
                <w:numId w:val="35"/>
              </w:numPr>
            </w:pPr>
            <w:r>
              <w:t xml:space="preserve">We communicate this to all employees. </w:t>
            </w:r>
          </w:p>
          <w:p w:rsidR="0087726F" w:rsidRDefault="0087726F" w:rsidP="0087726F">
            <w:pPr>
              <w:pStyle w:val="Normal2"/>
              <w:numPr>
                <w:ilvl w:val="0"/>
                <w:numId w:val="35"/>
              </w:numPr>
            </w:pPr>
            <w:r>
              <w:t>We will review and evaluate our existing employment processes to ensure that work life for LGBTQ staff is constantly improving.</w:t>
            </w:r>
          </w:p>
          <w:p w:rsidR="00D342E4" w:rsidRDefault="0087726F" w:rsidP="0087726F">
            <w:pPr>
              <w:pStyle w:val="Normal2"/>
              <w:numPr>
                <w:ilvl w:val="0"/>
                <w:numId w:val="35"/>
              </w:numPr>
            </w:pPr>
            <w:r>
              <w:t>Our code of conduct includes the requirement of non-discriminatory behaviours at the workplace and on social media.</w:t>
            </w:r>
          </w:p>
          <w:p w:rsidR="0087726F" w:rsidRDefault="0087726F" w:rsidP="0087726F">
            <w:pPr>
              <w:pStyle w:val="Normal2"/>
              <w:numPr>
                <w:ilvl w:val="0"/>
                <w:numId w:val="35"/>
              </w:numPr>
            </w:pPr>
            <w:r>
              <w:t>We create and maintain an inclusive work environment.</w:t>
            </w:r>
          </w:p>
          <w:p w:rsidR="0087726F" w:rsidRPr="00912675" w:rsidRDefault="0087726F" w:rsidP="004D5420">
            <w:pPr>
              <w:pStyle w:val="Normal2"/>
              <w:numPr>
                <w:ilvl w:val="0"/>
                <w:numId w:val="35"/>
              </w:numPr>
              <w:spacing w:after="0" w:afterAutospacing="0"/>
            </w:pPr>
            <w:r w:rsidRPr="00912675">
              <w:rPr>
                <w:rStyle w:val="Strong"/>
                <w:b w:val="0"/>
                <w:bCs w:val="0"/>
              </w:rPr>
              <w:t xml:space="preserve">We know that an inclusive environment accepts personal differences among employees while focusing on the </w:t>
            </w:r>
            <w:r w:rsidR="00912675">
              <w:rPr>
                <w:rStyle w:val="Strong"/>
                <w:b w:val="0"/>
                <w:bCs w:val="0"/>
              </w:rPr>
              <w:t xml:space="preserve">organisation’s </w:t>
            </w:r>
            <w:r w:rsidRPr="00912675">
              <w:rPr>
                <w:rStyle w:val="Strong"/>
                <w:b w:val="0"/>
                <w:bCs w:val="0"/>
              </w:rPr>
              <w:t xml:space="preserve">mission to </w:t>
            </w:r>
            <w:r w:rsidR="00912675">
              <w:rPr>
                <w:rStyle w:val="Strong"/>
                <w:b w:val="0"/>
                <w:bCs w:val="0"/>
              </w:rPr>
              <w:t>provide an excellent service to people.</w:t>
            </w:r>
          </w:p>
        </w:tc>
      </w:tr>
      <w:tr w:rsidR="0087726F" w:rsidTr="004D5420">
        <w:tc>
          <w:tcPr>
            <w:tcW w:w="2263" w:type="dxa"/>
            <w:shd w:val="clear" w:color="auto" w:fill="FFFFFF" w:themeFill="background1"/>
          </w:tcPr>
          <w:p w:rsidR="0087726F" w:rsidRDefault="0087726F" w:rsidP="0087726F">
            <w:pPr>
              <w:pStyle w:val="Normal2"/>
            </w:pPr>
            <w:r>
              <w:t>We take LGBTQ discrimination seriously</w:t>
            </w:r>
          </w:p>
        </w:tc>
        <w:tc>
          <w:tcPr>
            <w:tcW w:w="7508" w:type="dxa"/>
            <w:shd w:val="clear" w:color="auto" w:fill="B4C6E7" w:themeFill="accent5" w:themeFillTint="66"/>
          </w:tcPr>
          <w:p w:rsidR="0087726F" w:rsidRDefault="0087726F" w:rsidP="0087726F">
            <w:pPr>
              <w:pStyle w:val="Normal2"/>
              <w:numPr>
                <w:ilvl w:val="0"/>
                <w:numId w:val="41"/>
              </w:numPr>
            </w:pPr>
            <w:r>
              <w:t xml:space="preserve">Our HR processes and practices identify </w:t>
            </w:r>
            <w:r w:rsidRPr="002C7E22">
              <w:t>a strong anti-discrimination</w:t>
            </w:r>
            <w:r>
              <w:t xml:space="preserve"> stance. </w:t>
            </w:r>
          </w:p>
          <w:p w:rsidR="0087726F" w:rsidRDefault="0087726F" w:rsidP="004D5420">
            <w:pPr>
              <w:pStyle w:val="Normal2"/>
              <w:numPr>
                <w:ilvl w:val="0"/>
                <w:numId w:val="41"/>
              </w:numPr>
              <w:spacing w:after="0" w:afterAutospacing="0"/>
            </w:pPr>
            <w:r>
              <w:t>We ensure that</w:t>
            </w:r>
            <w:r w:rsidRPr="002C7E22">
              <w:t xml:space="preserve"> all employees know what is not tolerated in the workplace, and in cases of homophobic bullying, </w:t>
            </w:r>
            <w:r>
              <w:t xml:space="preserve">we promptly </w:t>
            </w:r>
            <w:r w:rsidRPr="002C7E22">
              <w:t>recognise the problem and take action.</w:t>
            </w:r>
          </w:p>
        </w:tc>
      </w:tr>
      <w:tr w:rsidR="00A40341" w:rsidTr="004D5420">
        <w:tc>
          <w:tcPr>
            <w:tcW w:w="2263" w:type="dxa"/>
            <w:shd w:val="clear" w:color="auto" w:fill="A8D08D" w:themeFill="accent6" w:themeFillTint="99"/>
          </w:tcPr>
          <w:p w:rsidR="00A40341" w:rsidRDefault="006B452D" w:rsidP="006B452D">
            <w:pPr>
              <w:pStyle w:val="Normal2"/>
              <w:rPr>
                <w:rFonts w:ascii="Times New Roman" w:hAnsi="Times New Roman"/>
              </w:rPr>
            </w:pPr>
            <w:r>
              <w:t>We develop support programmes for LGBTQ employees</w:t>
            </w:r>
          </w:p>
        </w:tc>
        <w:tc>
          <w:tcPr>
            <w:tcW w:w="7508" w:type="dxa"/>
            <w:shd w:val="clear" w:color="auto" w:fill="FFFFFF" w:themeFill="background1"/>
          </w:tcPr>
          <w:p w:rsidR="00260D0B" w:rsidRDefault="00B42022" w:rsidP="008467F6">
            <w:pPr>
              <w:pStyle w:val="Normal2"/>
              <w:numPr>
                <w:ilvl w:val="0"/>
                <w:numId w:val="42"/>
              </w:numPr>
            </w:pPr>
            <w:r>
              <w:t xml:space="preserve"> </w:t>
            </w:r>
            <w:r w:rsidR="00260D0B">
              <w:t>We offer m</w:t>
            </w:r>
            <w:r w:rsidR="006B452D" w:rsidRPr="002C7E22">
              <w:t xml:space="preserve">entoring, employee networking groups, seminars, and conferences </w:t>
            </w:r>
            <w:r w:rsidR="00260D0B">
              <w:t xml:space="preserve">to </w:t>
            </w:r>
            <w:r w:rsidR="006B452D" w:rsidRPr="002C7E22">
              <w:t>becom</w:t>
            </w:r>
            <w:r w:rsidR="00260D0B">
              <w:t>e</w:t>
            </w:r>
            <w:r w:rsidR="006B452D" w:rsidRPr="002C7E22">
              <w:t xml:space="preserve"> a more inclusive place to work for LGBT</w:t>
            </w:r>
            <w:r w:rsidR="00260D0B">
              <w:t>Q</w:t>
            </w:r>
            <w:r w:rsidR="006B452D" w:rsidRPr="002C7E22">
              <w:t xml:space="preserve"> employees. </w:t>
            </w:r>
          </w:p>
          <w:p w:rsidR="00A40341" w:rsidRDefault="00260D0B" w:rsidP="004D5420">
            <w:pPr>
              <w:pStyle w:val="Normal2"/>
              <w:numPr>
                <w:ilvl w:val="0"/>
                <w:numId w:val="42"/>
              </w:numPr>
              <w:spacing w:after="0" w:afterAutospacing="0"/>
              <w:rPr>
                <w:rStyle w:val="Strong"/>
              </w:rPr>
            </w:pPr>
            <w:r>
              <w:t>We</w:t>
            </w:r>
            <w:r w:rsidR="006B452D" w:rsidRPr="002C7E22">
              <w:t xml:space="preserve"> support employees with measures such as climate surveys, LGBTQ competency training</w:t>
            </w:r>
            <w:r>
              <w:t>s, and employee resource groups</w:t>
            </w:r>
            <w:r w:rsidR="006B452D" w:rsidRPr="002C7E22">
              <w:t>.</w:t>
            </w:r>
          </w:p>
        </w:tc>
      </w:tr>
      <w:tr w:rsidR="007151A0" w:rsidTr="004D5420">
        <w:tc>
          <w:tcPr>
            <w:tcW w:w="2263" w:type="dxa"/>
            <w:shd w:val="clear" w:color="auto" w:fill="FFFFFF" w:themeFill="background1"/>
          </w:tcPr>
          <w:p w:rsidR="007151A0" w:rsidRPr="002C7E22" w:rsidRDefault="007151A0" w:rsidP="007151A0">
            <w:pPr>
              <w:pStyle w:val="Normal2"/>
            </w:pPr>
            <w:r>
              <w:t>We p</w:t>
            </w:r>
            <w:r w:rsidRPr="002C7E22">
              <w:t xml:space="preserve">romote </w:t>
            </w:r>
            <w:r>
              <w:t>a</w:t>
            </w:r>
            <w:r w:rsidRPr="002C7E22">
              <w:t>llies of LGBT</w:t>
            </w:r>
            <w:r>
              <w:t>Q</w:t>
            </w:r>
            <w:r w:rsidRPr="002C7E22">
              <w:t xml:space="preserve"> </w:t>
            </w:r>
            <w:r>
              <w:t>p</w:t>
            </w:r>
            <w:r w:rsidRPr="002C7E22">
              <w:t>eople</w:t>
            </w:r>
          </w:p>
          <w:p w:rsidR="007151A0" w:rsidRDefault="007151A0" w:rsidP="006B452D">
            <w:pPr>
              <w:pStyle w:val="Normal2"/>
            </w:pPr>
          </w:p>
        </w:tc>
        <w:tc>
          <w:tcPr>
            <w:tcW w:w="7508" w:type="dxa"/>
            <w:shd w:val="clear" w:color="auto" w:fill="C5E0B3" w:themeFill="accent6" w:themeFillTint="66"/>
          </w:tcPr>
          <w:p w:rsidR="007151A0" w:rsidRDefault="00487AFF" w:rsidP="004D5420">
            <w:pPr>
              <w:pStyle w:val="Normal2"/>
              <w:numPr>
                <w:ilvl w:val="0"/>
                <w:numId w:val="44"/>
              </w:numPr>
              <w:spacing w:before="0" w:beforeAutospacing="0" w:after="0" w:afterAutospacing="0"/>
            </w:pPr>
            <w:r>
              <w:t>We d</w:t>
            </w:r>
            <w:r w:rsidR="007151A0" w:rsidRPr="002C7E22">
              <w:t>rive initiatives to promote allies of LGBT employees, who can act as support networks to LGBT employees and help champion the message that diversity is part of our organisation's mission.</w:t>
            </w:r>
          </w:p>
        </w:tc>
      </w:tr>
      <w:tr w:rsidR="007151A0" w:rsidTr="004D5420">
        <w:trPr>
          <w:trHeight w:val="818"/>
        </w:trPr>
        <w:tc>
          <w:tcPr>
            <w:tcW w:w="2263" w:type="dxa"/>
            <w:shd w:val="clear" w:color="auto" w:fill="E2EFD9" w:themeFill="accent6" w:themeFillTint="33"/>
          </w:tcPr>
          <w:p w:rsidR="007151A0" w:rsidRPr="002C7E22" w:rsidRDefault="007151A0" w:rsidP="007151A0">
            <w:pPr>
              <w:pStyle w:val="Normal2"/>
            </w:pPr>
            <w:r>
              <w:t>We ensure the support from s</w:t>
            </w:r>
            <w:r w:rsidRPr="002C7E22">
              <w:t xml:space="preserve">enior </w:t>
            </w:r>
            <w:r>
              <w:t>s</w:t>
            </w:r>
            <w:r w:rsidRPr="002C7E22">
              <w:t>taff</w:t>
            </w:r>
          </w:p>
          <w:p w:rsidR="007151A0" w:rsidRPr="002C7E22" w:rsidRDefault="007151A0" w:rsidP="007151A0">
            <w:pPr>
              <w:pStyle w:val="Normal2"/>
            </w:pPr>
          </w:p>
        </w:tc>
        <w:tc>
          <w:tcPr>
            <w:tcW w:w="7508" w:type="dxa"/>
            <w:shd w:val="clear" w:color="auto" w:fill="FFFFFF" w:themeFill="background1"/>
          </w:tcPr>
          <w:p w:rsidR="007151A0" w:rsidRPr="002C7E22" w:rsidRDefault="00416D9D" w:rsidP="004D5420">
            <w:pPr>
              <w:pStyle w:val="Normal2"/>
              <w:numPr>
                <w:ilvl w:val="0"/>
                <w:numId w:val="44"/>
              </w:numPr>
              <w:spacing w:before="0" w:beforeAutospacing="0" w:after="0" w:afterAutospacing="0"/>
              <w:ind w:left="357" w:hanging="357"/>
            </w:pPr>
            <w:r>
              <w:t xml:space="preserve">We have </w:t>
            </w:r>
            <w:r w:rsidR="003C0DA4">
              <w:t xml:space="preserve">senior staff champions, who </w:t>
            </w:r>
            <w:r w:rsidR="007151A0" w:rsidRPr="002C7E22">
              <w:t>help implement diversity initiatives, mentor junior LGBT</w:t>
            </w:r>
            <w:r w:rsidR="003C0DA4">
              <w:t>Q</w:t>
            </w:r>
            <w:r w:rsidR="007151A0" w:rsidRPr="002C7E22">
              <w:t xml:space="preserve"> colleagues, and act as sponsors of employee network groups.</w:t>
            </w:r>
          </w:p>
        </w:tc>
      </w:tr>
      <w:tr w:rsidR="007151A0" w:rsidTr="004D5420">
        <w:tc>
          <w:tcPr>
            <w:tcW w:w="2263" w:type="dxa"/>
            <w:shd w:val="clear" w:color="auto" w:fill="FFFFFF" w:themeFill="background1"/>
          </w:tcPr>
          <w:p w:rsidR="007151A0" w:rsidRPr="002C7E22" w:rsidRDefault="007151A0" w:rsidP="007151A0">
            <w:pPr>
              <w:pStyle w:val="Normal2"/>
            </w:pPr>
            <w:r>
              <w:t>We support the local LGBT</w:t>
            </w:r>
            <w:r w:rsidR="009411FA">
              <w:t>Q</w:t>
            </w:r>
            <w:r>
              <w:t xml:space="preserve"> c</w:t>
            </w:r>
            <w:r w:rsidRPr="002C7E22">
              <w:t>ommunity</w:t>
            </w:r>
          </w:p>
          <w:p w:rsidR="007151A0" w:rsidRDefault="007151A0" w:rsidP="007151A0">
            <w:pPr>
              <w:pStyle w:val="Normal2"/>
            </w:pPr>
          </w:p>
        </w:tc>
        <w:tc>
          <w:tcPr>
            <w:tcW w:w="7508" w:type="dxa"/>
            <w:shd w:val="clear" w:color="auto" w:fill="FFFF99"/>
          </w:tcPr>
          <w:p w:rsidR="007151A0" w:rsidRDefault="00FC2DAF" w:rsidP="009411FA">
            <w:pPr>
              <w:pStyle w:val="Normal2"/>
              <w:numPr>
                <w:ilvl w:val="0"/>
                <w:numId w:val="44"/>
              </w:numPr>
            </w:pPr>
            <w:r>
              <w:t xml:space="preserve">We show </w:t>
            </w:r>
            <w:r w:rsidR="007151A0" w:rsidRPr="002C7E22">
              <w:t xml:space="preserve">support </w:t>
            </w:r>
            <w:r>
              <w:t xml:space="preserve">to </w:t>
            </w:r>
            <w:r w:rsidR="007151A0" w:rsidRPr="002C7E22">
              <w:t>the local LGBT community by providing information to employees about local events and groups</w:t>
            </w:r>
            <w:r w:rsidR="009411FA">
              <w:t xml:space="preserve">. </w:t>
            </w:r>
          </w:p>
          <w:p w:rsidR="009411FA" w:rsidRPr="002C7E22" w:rsidRDefault="009411FA" w:rsidP="004D5420">
            <w:pPr>
              <w:pStyle w:val="Normal2"/>
              <w:numPr>
                <w:ilvl w:val="0"/>
                <w:numId w:val="44"/>
              </w:numPr>
              <w:spacing w:after="0" w:afterAutospacing="0"/>
            </w:pPr>
            <w:r>
              <w:t>We invite speakers from the LGBTQ community.</w:t>
            </w:r>
          </w:p>
        </w:tc>
      </w:tr>
      <w:tr w:rsidR="006B452D" w:rsidTr="004D5420">
        <w:tc>
          <w:tcPr>
            <w:tcW w:w="2263" w:type="dxa"/>
            <w:shd w:val="clear" w:color="auto" w:fill="FFFF66"/>
          </w:tcPr>
          <w:p w:rsidR="006B452D" w:rsidRDefault="00260D0B" w:rsidP="00260D0B">
            <w:pPr>
              <w:pStyle w:val="Normal2"/>
            </w:pPr>
            <w:r>
              <w:t>We offer LGBTQ-friendly benefits</w:t>
            </w:r>
          </w:p>
        </w:tc>
        <w:tc>
          <w:tcPr>
            <w:tcW w:w="7508" w:type="dxa"/>
            <w:shd w:val="clear" w:color="auto" w:fill="FFFFFF" w:themeFill="background1"/>
          </w:tcPr>
          <w:p w:rsidR="007151A0" w:rsidRDefault="009411FA" w:rsidP="009411FA">
            <w:pPr>
              <w:pStyle w:val="Normal2"/>
              <w:numPr>
                <w:ilvl w:val="0"/>
                <w:numId w:val="45"/>
              </w:numPr>
            </w:pPr>
            <w:r>
              <w:t>We o</w:t>
            </w:r>
            <w:r w:rsidR="007151A0" w:rsidRPr="002C7E22">
              <w:t>ffer equal benefits to all employees, regardless of their sexual orientation, including parental leave, adoption leave, and time off to take care of dependants.</w:t>
            </w:r>
          </w:p>
          <w:p w:rsidR="006B452D" w:rsidRDefault="009411FA" w:rsidP="009411FA">
            <w:pPr>
              <w:pStyle w:val="Normal2"/>
              <w:numPr>
                <w:ilvl w:val="0"/>
                <w:numId w:val="45"/>
              </w:numPr>
              <w:rPr>
                <w:rStyle w:val="Strong"/>
              </w:rPr>
            </w:pPr>
            <w:r>
              <w:t>We use terminology in our employment contract and other employment related records and documentation using gender-neutral terms in order to be inclusive of all employees.</w:t>
            </w:r>
          </w:p>
        </w:tc>
      </w:tr>
      <w:tr w:rsidR="006B452D" w:rsidTr="004D5420">
        <w:tc>
          <w:tcPr>
            <w:tcW w:w="2263" w:type="dxa"/>
            <w:shd w:val="clear" w:color="auto" w:fill="FFFFFF" w:themeFill="background1"/>
          </w:tcPr>
          <w:p w:rsidR="007151A0" w:rsidRPr="002C7E22" w:rsidRDefault="007151A0" w:rsidP="007151A0">
            <w:pPr>
              <w:pStyle w:val="Normal2"/>
            </w:pPr>
            <w:r>
              <w:t>We f</w:t>
            </w:r>
            <w:r w:rsidRPr="002C7E22">
              <w:t xml:space="preserve">oster a </w:t>
            </w:r>
            <w:r>
              <w:t>gender-n</w:t>
            </w:r>
            <w:r w:rsidRPr="002C7E22">
              <w:t xml:space="preserve">eutral </w:t>
            </w:r>
            <w:r>
              <w:t>e</w:t>
            </w:r>
            <w:r w:rsidRPr="002C7E22">
              <w:t>nvironment</w:t>
            </w:r>
          </w:p>
          <w:p w:rsidR="006B452D" w:rsidRDefault="006B452D" w:rsidP="006B452D">
            <w:pPr>
              <w:pStyle w:val="Normal2"/>
            </w:pPr>
          </w:p>
        </w:tc>
        <w:tc>
          <w:tcPr>
            <w:tcW w:w="7508" w:type="dxa"/>
            <w:shd w:val="clear" w:color="auto" w:fill="FFE181"/>
          </w:tcPr>
          <w:p w:rsidR="006B452D" w:rsidRDefault="009411FA" w:rsidP="009411FA">
            <w:pPr>
              <w:pStyle w:val="Normal2"/>
              <w:numPr>
                <w:ilvl w:val="0"/>
                <w:numId w:val="46"/>
              </w:numPr>
              <w:rPr>
                <w:rStyle w:val="Strong"/>
              </w:rPr>
            </w:pPr>
            <w:r>
              <w:rPr>
                <w:sz w:val="24"/>
              </w:rPr>
              <w:t>We c</w:t>
            </w:r>
            <w:r w:rsidR="007151A0" w:rsidRPr="002C7E22">
              <w:rPr>
                <w:sz w:val="24"/>
              </w:rPr>
              <w:t xml:space="preserve">reate </w:t>
            </w:r>
            <w:r>
              <w:rPr>
                <w:sz w:val="24"/>
              </w:rPr>
              <w:t xml:space="preserve">and maintain </w:t>
            </w:r>
            <w:r w:rsidR="007151A0" w:rsidRPr="002C7E22">
              <w:rPr>
                <w:sz w:val="24"/>
              </w:rPr>
              <w:t xml:space="preserve">a gender-neutral environment </w:t>
            </w:r>
            <w:r>
              <w:rPr>
                <w:sz w:val="24"/>
              </w:rPr>
              <w:t xml:space="preserve">by providing </w:t>
            </w:r>
            <w:r w:rsidR="007151A0" w:rsidRPr="002C7E22">
              <w:rPr>
                <w:sz w:val="24"/>
              </w:rPr>
              <w:t>unisex toilets and using gender-neutral language, like 'partner' instead of husband or wife.</w:t>
            </w:r>
          </w:p>
        </w:tc>
      </w:tr>
      <w:tr w:rsidR="00403FEC" w:rsidTr="004D5420">
        <w:tc>
          <w:tcPr>
            <w:tcW w:w="2263" w:type="dxa"/>
            <w:shd w:val="clear" w:color="auto" w:fill="FFD1D1"/>
          </w:tcPr>
          <w:p w:rsidR="00403FEC" w:rsidRPr="002C7E22" w:rsidRDefault="00403FEC" w:rsidP="00403FEC">
            <w:pPr>
              <w:pStyle w:val="Normal2"/>
            </w:pPr>
            <w:r>
              <w:t>We k</w:t>
            </w:r>
            <w:r w:rsidRPr="002C7E22">
              <w:t xml:space="preserve">eep </w:t>
            </w:r>
            <w:r>
              <w:t>track of s</w:t>
            </w:r>
            <w:r w:rsidRPr="002C7E22">
              <w:t>uccess</w:t>
            </w:r>
          </w:p>
          <w:p w:rsidR="00403FEC" w:rsidRDefault="00403FEC" w:rsidP="007151A0">
            <w:pPr>
              <w:pStyle w:val="Normal2"/>
            </w:pPr>
          </w:p>
        </w:tc>
        <w:tc>
          <w:tcPr>
            <w:tcW w:w="7508" w:type="dxa"/>
            <w:shd w:val="clear" w:color="auto" w:fill="FFFFFF" w:themeFill="background1"/>
          </w:tcPr>
          <w:p w:rsidR="009411FA" w:rsidRDefault="009411FA" w:rsidP="009411FA">
            <w:pPr>
              <w:pStyle w:val="Normal2"/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 xml:space="preserve">We celebrate our successes in maintaining an inclusive and diverse work environment. </w:t>
            </w:r>
          </w:p>
          <w:p w:rsidR="00403FEC" w:rsidRPr="002C7E22" w:rsidRDefault="009411FA" w:rsidP="009411FA">
            <w:pPr>
              <w:pStyle w:val="Normal2"/>
              <w:numPr>
                <w:ilvl w:val="0"/>
                <w:numId w:val="46"/>
              </w:numPr>
              <w:rPr>
                <w:sz w:val="24"/>
              </w:rPr>
            </w:pPr>
            <w:r>
              <w:rPr>
                <w:sz w:val="24"/>
              </w:rPr>
              <w:t>We</w:t>
            </w:r>
            <w:r w:rsidR="00403FEC" w:rsidRPr="002C7E22">
              <w:rPr>
                <w:sz w:val="24"/>
              </w:rPr>
              <w:t xml:space="preserve"> monitor your progress by tracking things such as number of employee grievances, completion rates of diversity training, LGBT</w:t>
            </w:r>
            <w:r>
              <w:rPr>
                <w:sz w:val="24"/>
              </w:rPr>
              <w:t>Q</w:t>
            </w:r>
            <w:r w:rsidR="00403FEC" w:rsidRPr="002C7E22">
              <w:rPr>
                <w:sz w:val="24"/>
              </w:rPr>
              <w:t xml:space="preserve"> hires and promotions, and how many employees have come out.</w:t>
            </w:r>
          </w:p>
        </w:tc>
      </w:tr>
      <w:tr w:rsidR="00B52D17" w:rsidTr="004D5420">
        <w:trPr>
          <w:trHeight w:val="2117"/>
        </w:trPr>
        <w:tc>
          <w:tcPr>
            <w:tcW w:w="9771" w:type="dxa"/>
            <w:gridSpan w:val="2"/>
            <w:shd w:val="clear" w:color="auto" w:fill="F3C1FF"/>
          </w:tcPr>
          <w:p w:rsidR="00B52D17" w:rsidRDefault="00B52D17" w:rsidP="004D5420">
            <w:pPr>
              <w:pStyle w:val="Normal2"/>
              <w:spacing w:after="0" w:afterAutospacing="0"/>
            </w:pPr>
            <w:r w:rsidRPr="00616126">
              <w:rPr>
                <w:b/>
              </w:rPr>
              <w:t xml:space="preserve">Trans and </w:t>
            </w:r>
            <w:r>
              <w:rPr>
                <w:b/>
              </w:rPr>
              <w:t>non-binary i</w:t>
            </w:r>
            <w:r w:rsidRPr="00616126">
              <w:rPr>
                <w:b/>
              </w:rPr>
              <w:t xml:space="preserve">nclusive </w:t>
            </w:r>
            <w:r>
              <w:rPr>
                <w:b/>
              </w:rPr>
              <w:t>w</w:t>
            </w:r>
            <w:r w:rsidRPr="00616126">
              <w:rPr>
                <w:b/>
              </w:rPr>
              <w:t>orkplaces</w:t>
            </w:r>
            <w:r>
              <w:rPr>
                <w:b/>
              </w:rPr>
              <w:t xml:space="preserve"> (</w:t>
            </w:r>
            <w:hyperlink r:id="rId27" w:history="1">
              <w:r w:rsidRPr="00616126">
                <w:rPr>
                  <w:rStyle w:val="Hyperlink"/>
                  <w:b/>
                </w:rPr>
                <w:t>guideline for employers</w:t>
              </w:r>
            </w:hyperlink>
            <w:r>
              <w:rPr>
                <w:b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990E2C" wp14:editId="16C1A3B3">
                  <wp:extent cx="2324100" cy="1092327"/>
                  <wp:effectExtent l="0" t="0" r="0" b="0"/>
                  <wp:docPr id="293" name="Picture 293" descr="Creating a Trans-Inclusive Work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ng a Trans-Inclusive Work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796" cy="109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17" w:rsidTr="004D5420">
        <w:tc>
          <w:tcPr>
            <w:tcW w:w="2263" w:type="dxa"/>
            <w:shd w:val="clear" w:color="auto" w:fill="F3C1FF"/>
          </w:tcPr>
          <w:p w:rsidR="00B52D17" w:rsidRPr="00901D27" w:rsidRDefault="00B52D17" w:rsidP="00B52D17">
            <w:pPr>
              <w:pStyle w:val="Normal2"/>
            </w:pPr>
            <w:r>
              <w:t>Acknowledgement</w:t>
            </w:r>
          </w:p>
        </w:tc>
        <w:tc>
          <w:tcPr>
            <w:tcW w:w="7508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  <w:numPr>
                <w:ilvl w:val="0"/>
                <w:numId w:val="21"/>
              </w:numPr>
            </w:pPr>
            <w:r>
              <w:t>Employment can be a significant source of stress for trans and nonbinary people. Hiring discrimination, workplace bullying, access to bathrooms, privacy violations, appearance requirements, and other people’s incorrect assumptions are all things that a trans or nonbinary person may face in the work environment.</w:t>
            </w:r>
          </w:p>
        </w:tc>
      </w:tr>
      <w:tr w:rsidR="00B52D17" w:rsidTr="004D5420">
        <w:tc>
          <w:tcPr>
            <w:tcW w:w="2263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  <w:rPr>
                <w:sz w:val="27"/>
                <w:szCs w:val="27"/>
              </w:rPr>
            </w:pPr>
            <w:r>
              <w:t>Hiring</w:t>
            </w:r>
          </w:p>
          <w:p w:rsidR="00B52D17" w:rsidRPr="00901D27" w:rsidRDefault="00B52D17" w:rsidP="00B52D17">
            <w:pPr>
              <w:pStyle w:val="Normal2"/>
            </w:pPr>
          </w:p>
        </w:tc>
        <w:tc>
          <w:tcPr>
            <w:tcW w:w="7508" w:type="dxa"/>
            <w:shd w:val="clear" w:color="auto" w:fill="F3C1FF"/>
          </w:tcPr>
          <w:p w:rsidR="00B52D17" w:rsidRDefault="00B52D17" w:rsidP="00B52D17">
            <w:pPr>
              <w:pStyle w:val="Normal2"/>
              <w:numPr>
                <w:ilvl w:val="0"/>
                <w:numId w:val="21"/>
              </w:numPr>
            </w:pPr>
            <w:r w:rsidRPr="007B77CF">
              <w:t>We will not</w:t>
            </w:r>
            <w:r>
              <w:t xml:space="preserve"> ask a potential employee if they are trans, unless it is a job that specifically requires a trans or gender diverse person. </w:t>
            </w:r>
          </w:p>
          <w:p w:rsidR="00B52D17" w:rsidRDefault="00B52D17" w:rsidP="00B52D17">
            <w:pPr>
              <w:pStyle w:val="Normal2"/>
              <w:numPr>
                <w:ilvl w:val="0"/>
                <w:numId w:val="21"/>
              </w:numPr>
            </w:pPr>
            <w:r>
              <w:t xml:space="preserve">We only ask trans or nonbinary people for previous name details if these are required from all applicants for a specific purpose; for example police vetting. </w:t>
            </w:r>
          </w:p>
          <w:p w:rsidR="00B52D17" w:rsidRDefault="00B52D17" w:rsidP="00B52D17">
            <w:pPr>
              <w:pStyle w:val="Normal2"/>
              <w:numPr>
                <w:ilvl w:val="0"/>
                <w:numId w:val="21"/>
              </w:numPr>
            </w:pPr>
            <w:r>
              <w:t>We reassure applicants that this information will only be used to verify identity and not for any other purpose.</w:t>
            </w:r>
          </w:p>
          <w:p w:rsidR="00B52D17" w:rsidRDefault="00B52D17" w:rsidP="00B52D17">
            <w:pPr>
              <w:pStyle w:val="Normal2"/>
              <w:jc w:val="center"/>
            </w:pPr>
            <w:r w:rsidRPr="007B77CF">
              <w:rPr>
                <w:i/>
              </w:rPr>
              <w:t>An employer cannot refuse to hire a trans person because they are trans or because “they won’t fit in”.</w:t>
            </w:r>
          </w:p>
        </w:tc>
      </w:tr>
      <w:tr w:rsidR="00B52D17" w:rsidTr="004D5420">
        <w:tc>
          <w:tcPr>
            <w:tcW w:w="2263" w:type="dxa"/>
            <w:shd w:val="clear" w:color="auto" w:fill="F3C1FF"/>
          </w:tcPr>
          <w:p w:rsidR="00B52D17" w:rsidRDefault="00B52D17" w:rsidP="00B52D17">
            <w:pPr>
              <w:pStyle w:val="Normal2"/>
            </w:pPr>
            <w:r>
              <w:t>Maintaining the wellbeing of trans and nonbinary employees</w:t>
            </w:r>
          </w:p>
        </w:tc>
        <w:tc>
          <w:tcPr>
            <w:tcW w:w="7508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  <w:numPr>
                <w:ilvl w:val="0"/>
                <w:numId w:val="21"/>
              </w:numPr>
              <w:spacing w:after="0" w:afterAutospacing="0"/>
            </w:pPr>
            <w:r>
              <w:t>We do not tolerate any discriminatory behaviour or bullying at the workplace.</w:t>
            </w:r>
          </w:p>
          <w:p w:rsidR="00B52D17" w:rsidRDefault="00B52D17" w:rsidP="00B52D17">
            <w:pPr>
              <w:pStyle w:val="Normal2"/>
              <w:numPr>
                <w:ilvl w:val="0"/>
                <w:numId w:val="21"/>
              </w:numPr>
              <w:spacing w:after="0" w:afterAutospacing="0"/>
            </w:pPr>
            <w:r>
              <w:t>We let employees know that we expect respectful behaviour towards all staff.</w:t>
            </w:r>
          </w:p>
          <w:p w:rsidR="00B52D17" w:rsidRDefault="00B52D17" w:rsidP="00B52D17">
            <w:pPr>
              <w:pStyle w:val="Normal2"/>
              <w:numPr>
                <w:ilvl w:val="0"/>
                <w:numId w:val="21"/>
              </w:numPr>
              <w:spacing w:after="0" w:afterAutospacing="0"/>
            </w:pPr>
            <w:r>
              <w:t>We encourage any issues are flagged with the relevant employees/leaders as soon as they arise.</w:t>
            </w:r>
          </w:p>
          <w:p w:rsidR="00B52D17" w:rsidRPr="007B77CF" w:rsidRDefault="00B52D17" w:rsidP="00B52D17">
            <w:pPr>
              <w:pStyle w:val="Normal2"/>
              <w:numPr>
                <w:ilvl w:val="0"/>
                <w:numId w:val="21"/>
              </w:numPr>
              <w:spacing w:after="0" w:afterAutospacing="0"/>
            </w:pPr>
            <w:r>
              <w:t>We assign job duties, pay, and promote trans people just as we do with any other employee.</w:t>
            </w:r>
          </w:p>
        </w:tc>
      </w:tr>
      <w:tr w:rsidR="00B52D17" w:rsidTr="004D5420">
        <w:tc>
          <w:tcPr>
            <w:tcW w:w="2263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</w:pPr>
            <w:r>
              <w:t>Dress codes</w:t>
            </w:r>
          </w:p>
        </w:tc>
        <w:tc>
          <w:tcPr>
            <w:tcW w:w="7508" w:type="dxa"/>
            <w:shd w:val="clear" w:color="auto" w:fill="F3C1FF"/>
          </w:tcPr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Our dress code will ensure that people can wear the style or i</w:t>
            </w:r>
            <w:r w:rsidR="00EB115C">
              <w:t xml:space="preserve">tems that feel right for them. </w:t>
            </w:r>
          </w:p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Our dress code is not based on gender stereotypes&gt; it is applied equally to all employees.</w:t>
            </w:r>
          </w:p>
        </w:tc>
      </w:tr>
      <w:tr w:rsidR="00B52D17" w:rsidTr="004D5420">
        <w:tc>
          <w:tcPr>
            <w:tcW w:w="2263" w:type="dxa"/>
            <w:shd w:val="clear" w:color="auto" w:fill="F3C1FF"/>
          </w:tcPr>
          <w:p w:rsidR="00B52D17" w:rsidRDefault="00B52D17" w:rsidP="00B52D17">
            <w:pPr>
              <w:pStyle w:val="Normal2"/>
            </w:pPr>
            <w:r>
              <w:rPr>
                <w:rStyle w:val="Emphasis"/>
              </w:rPr>
              <w:t>Bathrooms and changing facilities</w:t>
            </w:r>
          </w:p>
          <w:p w:rsidR="00B52D17" w:rsidRDefault="00B52D17" w:rsidP="00B52D17">
            <w:pPr>
              <w:pStyle w:val="Normal2"/>
            </w:pPr>
          </w:p>
        </w:tc>
        <w:tc>
          <w:tcPr>
            <w:tcW w:w="7508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All staff, including trans employees, have the right to expect privacy and safety when using these facilities.</w:t>
            </w:r>
          </w:p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We will have unisex toilets in the work environment. This will help nonbinary employees who feel uncomfortable using either men’s or women’s bathrooms and may also be more comfortable for a trans person early in their transition.</w:t>
            </w:r>
          </w:p>
        </w:tc>
      </w:tr>
      <w:tr w:rsidR="00B52D17" w:rsidTr="004D5420">
        <w:tc>
          <w:tcPr>
            <w:tcW w:w="2263" w:type="dxa"/>
            <w:shd w:val="clear" w:color="auto" w:fill="FFFFFF" w:themeFill="background1"/>
          </w:tcPr>
          <w:p w:rsidR="00B52D17" w:rsidRPr="001F06C2" w:rsidRDefault="00B52D17" w:rsidP="00B52D17">
            <w:pPr>
              <w:pStyle w:val="Normal2"/>
            </w:pPr>
            <w:r w:rsidRPr="001F06C2">
              <w:rPr>
                <w:rStyle w:val="Emphasis"/>
                <w:i w:val="0"/>
                <w:iCs w:val="0"/>
              </w:rPr>
              <w:t>Normalise using pronouns in the workplace</w:t>
            </w:r>
          </w:p>
          <w:p w:rsidR="00B52D17" w:rsidRDefault="00B52D17" w:rsidP="00B52D17">
            <w:pPr>
              <w:pStyle w:val="Normal2"/>
              <w:rPr>
                <w:rStyle w:val="Emphasis"/>
              </w:rPr>
            </w:pPr>
          </w:p>
        </w:tc>
        <w:tc>
          <w:tcPr>
            <w:tcW w:w="7508" w:type="dxa"/>
            <w:shd w:val="clear" w:color="auto" w:fill="F3C1FF"/>
          </w:tcPr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We will ask employees which pronouns they would like to be used when referring to them.</w:t>
            </w:r>
          </w:p>
          <w:p w:rsidR="00B52D17" w:rsidRDefault="00B52D17" w:rsidP="00B52D17">
            <w:pPr>
              <w:pStyle w:val="Normal2"/>
              <w:numPr>
                <w:ilvl w:val="0"/>
                <w:numId w:val="36"/>
              </w:numPr>
            </w:pPr>
            <w:r>
              <w:t>We encourage all staff to include their preferred pronouns in email signatures. This is a way to normalise pronouns instead of assuming and possibly misgendering people.</w:t>
            </w:r>
          </w:p>
        </w:tc>
      </w:tr>
    </w:tbl>
    <w:p w:rsidR="00B52D17" w:rsidRDefault="00B52D17" w:rsidP="00B52D17"/>
    <w:p w:rsidR="004D5420" w:rsidRDefault="004D5420" w:rsidP="00B52D17"/>
    <w:p w:rsidR="004D5420" w:rsidRDefault="004D5420" w:rsidP="00B52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B52D17" w:rsidTr="00EB115C">
        <w:tc>
          <w:tcPr>
            <w:tcW w:w="9771" w:type="dxa"/>
            <w:gridSpan w:val="2"/>
            <w:shd w:val="clear" w:color="auto" w:fill="F3C1FF"/>
          </w:tcPr>
          <w:p w:rsidR="00B52D17" w:rsidRDefault="00B52D17" w:rsidP="00B52D17">
            <w:pPr>
              <w:pStyle w:val="Normal2"/>
            </w:pPr>
            <w:r w:rsidRPr="00616126">
              <w:rPr>
                <w:b/>
              </w:rPr>
              <w:t xml:space="preserve">Trans and </w:t>
            </w:r>
            <w:r>
              <w:rPr>
                <w:b/>
              </w:rPr>
              <w:t>non-binary i</w:t>
            </w:r>
            <w:r w:rsidRPr="00616126">
              <w:rPr>
                <w:b/>
              </w:rPr>
              <w:t xml:space="preserve">nclusive </w:t>
            </w:r>
            <w:r>
              <w:rPr>
                <w:b/>
              </w:rPr>
              <w:t>w</w:t>
            </w:r>
            <w:r w:rsidRPr="00616126">
              <w:rPr>
                <w:b/>
              </w:rPr>
              <w:t>orkplaces</w:t>
            </w:r>
            <w:r>
              <w:rPr>
                <w:b/>
              </w:rPr>
              <w:t xml:space="preserve"> </w:t>
            </w:r>
            <w:r w:rsidRPr="00CF44E0">
              <w:rPr>
                <w:i/>
              </w:rPr>
              <w:t>cont.</w:t>
            </w:r>
          </w:p>
        </w:tc>
      </w:tr>
      <w:tr w:rsidR="00B52D17" w:rsidTr="00EB115C">
        <w:tc>
          <w:tcPr>
            <w:tcW w:w="2830" w:type="dxa"/>
            <w:shd w:val="clear" w:color="auto" w:fill="F3C1FF"/>
          </w:tcPr>
          <w:p w:rsidR="00B52D17" w:rsidRDefault="00B52D17" w:rsidP="00B52D17">
            <w:pPr>
              <w:pStyle w:val="Normal2"/>
              <w:rPr>
                <w:sz w:val="27"/>
                <w:szCs w:val="27"/>
              </w:rPr>
            </w:pPr>
            <w:r>
              <w:t>Supporting transitioning employees</w:t>
            </w:r>
          </w:p>
          <w:p w:rsidR="00B52D17" w:rsidRDefault="00B52D17" w:rsidP="00B52D17">
            <w:pPr>
              <w:pStyle w:val="Heading3"/>
              <w:jc w:val="left"/>
              <w:outlineLvl w:val="2"/>
            </w:pPr>
          </w:p>
        </w:tc>
        <w:tc>
          <w:tcPr>
            <w:tcW w:w="6941" w:type="dxa"/>
            <w:shd w:val="clear" w:color="auto" w:fill="FFFFFF" w:themeFill="background1"/>
          </w:tcPr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 xml:space="preserve">If an employee indicates that they are going to transition, we discuss with them whether or how to inform other employees. 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 xml:space="preserve">We take the employee’s lead on how much and what other information they want shared. 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 xml:space="preserve">We do not share any personal information without their consent. 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>We ask what name and pronoun they want to use, and if they want to formally change these.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>We arrange to change workplace records (e.g. ID cards, email, phone lists, payroll) if the employee agrees to this.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>We treat the need for appointments as part of the transitioning process the same as other necessary appointments.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>We might consider allowing transitioning employees to work flexibly to support their process and to avoid them having to use sick leave or unpaid leave.</w:t>
            </w:r>
          </w:p>
          <w:p w:rsidR="00B52D17" w:rsidRDefault="00B52D17" w:rsidP="00B52D17">
            <w:pPr>
              <w:pStyle w:val="Normal2"/>
              <w:numPr>
                <w:ilvl w:val="0"/>
                <w:numId w:val="40"/>
              </w:numPr>
            </w:pPr>
            <w:r>
              <w:t>We provide access to an Employment Assistance Programme or counselling support if relevant and desired by the employee.</w:t>
            </w:r>
          </w:p>
        </w:tc>
      </w:tr>
    </w:tbl>
    <w:p w:rsidR="00B52D17" w:rsidRDefault="00B52D17" w:rsidP="00B52D17"/>
    <w:p w:rsidR="00B52D17" w:rsidRDefault="00B52D17" w:rsidP="00B52D17">
      <w:pPr>
        <w:jc w:val="left"/>
        <w:rPr>
          <w:rStyle w:val="Hyperlink"/>
        </w:rPr>
      </w:pPr>
    </w:p>
    <w:p w:rsidR="000850B9" w:rsidRDefault="000850B9"/>
    <w:p w:rsidR="000850B9" w:rsidRDefault="000850B9"/>
    <w:p w:rsidR="004C47F9" w:rsidRDefault="004C47F9"/>
    <w:p w:rsidR="004C47F9" w:rsidRDefault="004C47F9"/>
    <w:p w:rsidR="0087726F" w:rsidRPr="0087726F" w:rsidRDefault="0087726F" w:rsidP="0087726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en-NZ"/>
        </w:rPr>
      </w:pPr>
    </w:p>
    <w:p w:rsidR="0087726F" w:rsidRDefault="0087726F" w:rsidP="00260D0B">
      <w:pPr>
        <w:pStyle w:val="NormalWeb"/>
      </w:pPr>
    </w:p>
    <w:p w:rsidR="004C47F9" w:rsidRDefault="004C47F9"/>
    <w:p w:rsidR="004C47F9" w:rsidRDefault="004C47F9"/>
    <w:p w:rsidR="004C47F9" w:rsidRDefault="004C47F9"/>
    <w:p w:rsidR="004C47F9" w:rsidRDefault="004C47F9"/>
    <w:p w:rsidR="004C47F9" w:rsidRDefault="004C47F9"/>
    <w:p w:rsidR="004C47F9" w:rsidRDefault="004C47F9"/>
    <w:p w:rsidR="00E92E2E" w:rsidRDefault="00E92E2E"/>
    <w:p w:rsidR="00E92E2E" w:rsidRDefault="00E92E2E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4D5420" w:rsidRDefault="004D5420"/>
    <w:p w:rsidR="00E92E2E" w:rsidRDefault="00E92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657165" w:rsidTr="00C00301">
        <w:tc>
          <w:tcPr>
            <w:tcW w:w="9771" w:type="dxa"/>
            <w:gridSpan w:val="2"/>
            <w:shd w:val="clear" w:color="auto" w:fill="CDF2FF"/>
          </w:tcPr>
          <w:p w:rsidR="00657165" w:rsidRDefault="003C6AE7" w:rsidP="00657165">
            <w:pPr>
              <w:pStyle w:val="Normal2"/>
              <w:spacing w:before="0" w:beforeAutospacing="0" w:after="0" w:afterAutospacing="0"/>
              <w:rPr>
                <w:b/>
              </w:rPr>
            </w:pPr>
            <w:r w:rsidRPr="003C6AE7">
              <w:rPr>
                <w:b/>
              </w:rPr>
              <w:t>Religious diversity</w:t>
            </w:r>
          </w:p>
          <w:p w:rsidR="004E0CEA" w:rsidRDefault="004E0CEA" w:rsidP="004E0CEA">
            <w:pPr>
              <w:pStyle w:val="Normal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086F95" wp14:editId="4DAD82FE">
                  <wp:extent cx="4495800" cy="2095500"/>
                  <wp:effectExtent l="0" t="0" r="0" b="0"/>
                  <wp:docPr id="292" name="Picture 292" descr="World Religion Symbols Colored Signs Of Major Religious Groups And  Religions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 Religion Symbols Colored Signs Of Major Religious Groups And  Religions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EA" w:rsidRPr="00062D4E" w:rsidRDefault="00062D4E" w:rsidP="00062D4E">
            <w:pPr>
              <w:pStyle w:val="Normal2"/>
            </w:pPr>
            <w:r>
              <w:t xml:space="preserve">We </w:t>
            </w:r>
            <w:r w:rsidRPr="00062D4E">
              <w:t>discuss</w:t>
            </w:r>
            <w:r>
              <w:t xml:space="preserve"> </w:t>
            </w:r>
            <w:r w:rsidRPr="00062D4E">
              <w:t>and</w:t>
            </w:r>
            <w:r>
              <w:t xml:space="preserve"> aim to reach an agreement in regards to religious expressions and activities </w:t>
            </w:r>
            <w:r w:rsidRPr="00062D4E">
              <w:t>at the time when the terms of employment are negotiated.</w:t>
            </w:r>
          </w:p>
        </w:tc>
      </w:tr>
      <w:tr w:rsidR="00657165" w:rsidTr="00C1239A">
        <w:tc>
          <w:tcPr>
            <w:tcW w:w="2830" w:type="dxa"/>
            <w:shd w:val="clear" w:color="auto" w:fill="FFFFFF" w:themeFill="background1"/>
          </w:tcPr>
          <w:p w:rsidR="00657165" w:rsidRDefault="00824BC0" w:rsidP="004C200C">
            <w:pPr>
              <w:pStyle w:val="Normal2"/>
            </w:pPr>
            <w:r>
              <w:t>High days and holidays</w:t>
            </w:r>
          </w:p>
        </w:tc>
        <w:tc>
          <w:tcPr>
            <w:tcW w:w="6941" w:type="dxa"/>
            <w:shd w:val="clear" w:color="auto" w:fill="CDF2FF"/>
          </w:tcPr>
          <w:p w:rsidR="00657165" w:rsidRPr="00824BC0" w:rsidRDefault="00824BC0" w:rsidP="004E0CEA">
            <w:pPr>
              <w:pStyle w:val="Normal2"/>
              <w:numPr>
                <w:ilvl w:val="0"/>
                <w:numId w:val="18"/>
              </w:numPr>
            </w:pPr>
            <w:r>
              <w:t xml:space="preserve">We will accommodate the </w:t>
            </w:r>
            <w:r w:rsidRPr="00824BC0">
              <w:t>sacred calendars with different religious holy days and holidays</w:t>
            </w:r>
            <w:r>
              <w:t xml:space="preserve"> if our employees negotiate this with us one year in advance</w:t>
            </w:r>
            <w:r w:rsidR="004E0CEA">
              <w:t xml:space="preserve"> and we can arrange alternative cover during this time</w:t>
            </w:r>
            <w:r w:rsidRPr="00824BC0">
              <w:t xml:space="preserve"> </w:t>
            </w:r>
          </w:p>
        </w:tc>
      </w:tr>
      <w:tr w:rsidR="00824BC0" w:rsidTr="00824BC0">
        <w:tc>
          <w:tcPr>
            <w:tcW w:w="2830" w:type="dxa"/>
            <w:shd w:val="clear" w:color="auto" w:fill="CDF2FF"/>
          </w:tcPr>
          <w:p w:rsidR="00824BC0" w:rsidRDefault="00824BC0" w:rsidP="004C200C">
            <w:pPr>
              <w:pStyle w:val="Normal2"/>
            </w:pPr>
            <w:r>
              <w:t>Compassionate bereavement leave</w:t>
            </w:r>
          </w:p>
        </w:tc>
        <w:tc>
          <w:tcPr>
            <w:tcW w:w="6941" w:type="dxa"/>
            <w:shd w:val="clear" w:color="auto" w:fill="FFFFFF" w:themeFill="background1"/>
          </w:tcPr>
          <w:p w:rsidR="00824BC0" w:rsidRPr="004E0CEA" w:rsidRDefault="004E0CEA" w:rsidP="004E0CEA">
            <w:pPr>
              <w:pStyle w:val="Normal2"/>
              <w:numPr>
                <w:ilvl w:val="0"/>
                <w:numId w:val="18"/>
              </w:numPr>
            </w:pPr>
            <w:r>
              <w:t xml:space="preserve">Additional to the 1-3 days bereavement leave entitlement we are open to discuss that our employee can use holiday or unpaid leave if their religious bereavement rituals requires this. </w:t>
            </w:r>
          </w:p>
        </w:tc>
      </w:tr>
      <w:tr w:rsidR="000439E9" w:rsidTr="000439E9">
        <w:tc>
          <w:tcPr>
            <w:tcW w:w="2830" w:type="dxa"/>
            <w:shd w:val="clear" w:color="auto" w:fill="FFFFFF" w:themeFill="background1"/>
          </w:tcPr>
          <w:p w:rsidR="000439E9" w:rsidRDefault="000439E9" w:rsidP="004C200C">
            <w:pPr>
              <w:pStyle w:val="Normal2"/>
            </w:pPr>
            <w:r>
              <w:t>Prayer times and facilities</w:t>
            </w:r>
          </w:p>
        </w:tc>
        <w:tc>
          <w:tcPr>
            <w:tcW w:w="6941" w:type="dxa"/>
            <w:shd w:val="clear" w:color="auto" w:fill="CDF2FF"/>
          </w:tcPr>
          <w:p w:rsidR="000439E9" w:rsidRDefault="003B063D" w:rsidP="003B063D">
            <w:pPr>
              <w:pStyle w:val="Normal2"/>
              <w:numPr>
                <w:ilvl w:val="0"/>
                <w:numId w:val="18"/>
              </w:numPr>
            </w:pPr>
            <w:r>
              <w:t xml:space="preserve">We consider in good faith the </w:t>
            </w:r>
            <w:r w:rsidRPr="003B063D">
              <w:t>practicable pr</w:t>
            </w:r>
            <w:r>
              <w:t xml:space="preserve">ovision of facilities to allow prayers </w:t>
            </w:r>
            <w:r w:rsidRPr="003B063D">
              <w:t>to take place.</w:t>
            </w:r>
          </w:p>
          <w:p w:rsidR="003B063D" w:rsidRPr="003B063D" w:rsidRDefault="003B063D" w:rsidP="003B063D">
            <w:pPr>
              <w:pStyle w:val="Normal2"/>
              <w:numPr>
                <w:ilvl w:val="0"/>
                <w:numId w:val="18"/>
              </w:numPr>
            </w:pPr>
            <w:r>
              <w:t>Our employees can choose to pray during their rest and meal breaks.</w:t>
            </w:r>
          </w:p>
        </w:tc>
      </w:tr>
      <w:tr w:rsidR="003B063D" w:rsidTr="003B063D">
        <w:tc>
          <w:tcPr>
            <w:tcW w:w="2830" w:type="dxa"/>
            <w:shd w:val="clear" w:color="auto" w:fill="CDF2FF"/>
          </w:tcPr>
          <w:p w:rsidR="003B063D" w:rsidRDefault="003B063D" w:rsidP="004C200C">
            <w:pPr>
              <w:pStyle w:val="Normal2"/>
            </w:pPr>
            <w:r>
              <w:t>Dress codes and appearance</w:t>
            </w:r>
          </w:p>
        </w:tc>
        <w:tc>
          <w:tcPr>
            <w:tcW w:w="6941" w:type="dxa"/>
            <w:shd w:val="clear" w:color="auto" w:fill="FFFFFF" w:themeFill="background1"/>
          </w:tcPr>
          <w:p w:rsidR="00854CDB" w:rsidRDefault="00BF272A" w:rsidP="00BF272A">
            <w:pPr>
              <w:pStyle w:val="Normal2"/>
              <w:numPr>
                <w:ilvl w:val="0"/>
                <w:numId w:val="19"/>
              </w:numPr>
            </w:pPr>
            <w:r>
              <w:t xml:space="preserve">Health and safety requirements to ensure protective and safe clothing or equipment need to be ensured before we approve specific religious dress codes or appearances.  </w:t>
            </w:r>
          </w:p>
          <w:p w:rsidR="00BF272A" w:rsidRDefault="00BF272A" w:rsidP="00BF272A">
            <w:pPr>
              <w:pStyle w:val="Normal2"/>
              <w:numPr>
                <w:ilvl w:val="0"/>
                <w:numId w:val="19"/>
              </w:numPr>
            </w:pPr>
            <w:r>
              <w:t>We will consider finding practical and acceptable solutions to any dress or appearance requests by an employee.</w:t>
            </w:r>
          </w:p>
          <w:p w:rsidR="003B063D" w:rsidRPr="00854CDB" w:rsidRDefault="00BF272A" w:rsidP="00BF272A">
            <w:pPr>
              <w:pStyle w:val="Normal2"/>
              <w:numPr>
                <w:ilvl w:val="0"/>
                <w:numId w:val="19"/>
              </w:numPr>
            </w:pPr>
            <w:r>
              <w:t>Our employment agreement will include dress and/or appearance requirements.</w:t>
            </w:r>
          </w:p>
        </w:tc>
      </w:tr>
      <w:tr w:rsidR="0011616F" w:rsidTr="0011616F">
        <w:tc>
          <w:tcPr>
            <w:tcW w:w="2830" w:type="dxa"/>
            <w:shd w:val="clear" w:color="auto" w:fill="FFFFFF" w:themeFill="background1"/>
          </w:tcPr>
          <w:p w:rsidR="0011616F" w:rsidRDefault="0011616F" w:rsidP="004C200C">
            <w:pPr>
              <w:pStyle w:val="Normal2"/>
            </w:pPr>
            <w:r>
              <w:t>Public religious displays at work</w:t>
            </w:r>
          </w:p>
        </w:tc>
        <w:tc>
          <w:tcPr>
            <w:tcW w:w="6941" w:type="dxa"/>
            <w:shd w:val="clear" w:color="auto" w:fill="CDF2FF"/>
          </w:tcPr>
          <w:p w:rsidR="003F1879" w:rsidRDefault="003F1879" w:rsidP="003F1879">
            <w:pPr>
              <w:pStyle w:val="Normal2"/>
              <w:numPr>
                <w:ilvl w:val="0"/>
                <w:numId w:val="20"/>
              </w:numPr>
            </w:pPr>
            <w:r>
              <w:t>We consider t</w:t>
            </w:r>
            <w:r w:rsidRPr="003F1879">
              <w:t xml:space="preserve">he discreet wearing of religious insignia, or the discreet decoration of work spaces with religious items or artefacts </w:t>
            </w:r>
            <w:r>
              <w:t>acceptable as long as it does not interfere with work practices or the safety of fellow workers.</w:t>
            </w:r>
          </w:p>
          <w:p w:rsidR="007C40D1" w:rsidRDefault="003F1879" w:rsidP="007C40D1">
            <w:pPr>
              <w:pStyle w:val="Normal2"/>
              <w:numPr>
                <w:ilvl w:val="0"/>
                <w:numId w:val="20"/>
              </w:numPr>
            </w:pPr>
            <w:r>
              <w:t>W</w:t>
            </w:r>
            <w:r w:rsidR="007C40D1">
              <w:t>e expect that employees r</w:t>
            </w:r>
            <w:r w:rsidRPr="003F1879">
              <w:t xml:space="preserve">espect others </w:t>
            </w:r>
            <w:r w:rsidR="007C40D1">
              <w:t xml:space="preserve">as this </w:t>
            </w:r>
            <w:r w:rsidRPr="003F1879">
              <w:t>is essential in the workplace</w:t>
            </w:r>
            <w:r w:rsidR="007C40D1">
              <w:t xml:space="preserve">. </w:t>
            </w:r>
          </w:p>
          <w:p w:rsidR="0011616F" w:rsidRDefault="007C40D1" w:rsidP="007C40D1">
            <w:pPr>
              <w:pStyle w:val="Normal2"/>
              <w:numPr>
                <w:ilvl w:val="0"/>
                <w:numId w:val="20"/>
              </w:numPr>
            </w:pPr>
            <w:r>
              <w:t xml:space="preserve">We expect that employees are aware that some actions may offend others. </w:t>
            </w:r>
          </w:p>
          <w:p w:rsidR="007C40D1" w:rsidRPr="003F1879" w:rsidRDefault="007C40D1" w:rsidP="007C40D1">
            <w:pPr>
              <w:pStyle w:val="Normal2"/>
              <w:numPr>
                <w:ilvl w:val="0"/>
                <w:numId w:val="20"/>
              </w:numPr>
            </w:pPr>
            <w:r>
              <w:t>We foster that employees discuss any issues or concerns they have in regards to this subject – refer to our principles of diversity and inclusion.</w:t>
            </w:r>
          </w:p>
        </w:tc>
      </w:tr>
    </w:tbl>
    <w:p w:rsidR="00C3766F" w:rsidRDefault="00C3766F"/>
    <w:p w:rsidR="00C3766F" w:rsidRDefault="00C3766F"/>
    <w:p w:rsidR="00C3766F" w:rsidRDefault="00C3766F"/>
    <w:p w:rsidR="00E92E2E" w:rsidRDefault="00E92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C3766F" w:rsidTr="00C3766F">
        <w:tc>
          <w:tcPr>
            <w:tcW w:w="9771" w:type="dxa"/>
            <w:gridSpan w:val="2"/>
            <w:shd w:val="clear" w:color="auto" w:fill="9FE6FF"/>
          </w:tcPr>
          <w:p w:rsidR="00C3766F" w:rsidRDefault="00C3766F" w:rsidP="00C3766F">
            <w:pPr>
              <w:pStyle w:val="Normal2"/>
            </w:pPr>
            <w:r w:rsidRPr="00C3766F">
              <w:rPr>
                <w:b/>
              </w:rPr>
              <w:t>Religious diversity</w:t>
            </w:r>
            <w:r>
              <w:t xml:space="preserve"> </w:t>
            </w:r>
            <w:r w:rsidRPr="00C3766F">
              <w:rPr>
                <w:i/>
              </w:rPr>
              <w:t>cont.</w:t>
            </w:r>
          </w:p>
        </w:tc>
      </w:tr>
      <w:tr w:rsidR="00C3766F" w:rsidTr="0011616F">
        <w:tc>
          <w:tcPr>
            <w:tcW w:w="2830" w:type="dxa"/>
            <w:shd w:val="clear" w:color="auto" w:fill="FFFFFF" w:themeFill="background1"/>
          </w:tcPr>
          <w:p w:rsidR="00C3766F" w:rsidRDefault="00C3766F" w:rsidP="00C3766F">
            <w:pPr>
              <w:pStyle w:val="Normal2"/>
            </w:pPr>
            <w:r>
              <w:t xml:space="preserve">Religious related forbidden activities </w:t>
            </w:r>
          </w:p>
        </w:tc>
        <w:tc>
          <w:tcPr>
            <w:tcW w:w="6941" w:type="dxa"/>
            <w:shd w:val="clear" w:color="auto" w:fill="CDF2FF"/>
          </w:tcPr>
          <w:p w:rsidR="00C3766F" w:rsidRDefault="00C3766F" w:rsidP="003F1879">
            <w:pPr>
              <w:pStyle w:val="Normal2"/>
              <w:numPr>
                <w:ilvl w:val="0"/>
                <w:numId w:val="20"/>
              </w:numPr>
            </w:pPr>
            <w:r>
              <w:t>During work functions we will consider the religious eating and drinking requirements of our workforce.</w:t>
            </w:r>
          </w:p>
          <w:p w:rsidR="00C3766F" w:rsidRDefault="00C3766F" w:rsidP="00C3766F">
            <w:pPr>
              <w:pStyle w:val="Normal2"/>
              <w:numPr>
                <w:ilvl w:val="0"/>
                <w:numId w:val="20"/>
              </w:numPr>
            </w:pPr>
            <w:r>
              <w:t xml:space="preserve">We will not tolerate that employees are pressured to drink alcohol or eat foods that are not compatible with the employee’s religious practices. </w:t>
            </w:r>
          </w:p>
          <w:p w:rsidR="00C3766F" w:rsidRDefault="002753C4" w:rsidP="00C00301">
            <w:pPr>
              <w:pStyle w:val="Normal2"/>
              <w:numPr>
                <w:ilvl w:val="0"/>
                <w:numId w:val="20"/>
              </w:numPr>
            </w:pPr>
            <w:r>
              <w:t>We offer routinely alcohol free drinks and vegetarian food at work functions.</w:t>
            </w:r>
            <w:r w:rsidR="00C3766F">
              <w:t xml:space="preserve"> </w:t>
            </w:r>
          </w:p>
        </w:tc>
      </w:tr>
      <w:tr w:rsidR="00901D27" w:rsidTr="009D14D4">
        <w:tc>
          <w:tcPr>
            <w:tcW w:w="2830" w:type="dxa"/>
            <w:shd w:val="clear" w:color="auto" w:fill="CDF2FF"/>
          </w:tcPr>
          <w:p w:rsidR="00901D27" w:rsidRPr="00901D27" w:rsidRDefault="00901D27" w:rsidP="00901D27">
            <w:pPr>
              <w:pStyle w:val="Normal2"/>
            </w:pPr>
            <w:r w:rsidRPr="00901D27">
              <w:t>The promotion of religion in the workplace</w:t>
            </w:r>
          </w:p>
        </w:tc>
        <w:tc>
          <w:tcPr>
            <w:tcW w:w="6941" w:type="dxa"/>
            <w:shd w:val="clear" w:color="auto" w:fill="FFFFFF" w:themeFill="background1"/>
          </w:tcPr>
          <w:p w:rsidR="00400BB6" w:rsidRDefault="00400BB6" w:rsidP="00400BB6">
            <w:pPr>
              <w:pStyle w:val="Normal2"/>
              <w:numPr>
                <w:ilvl w:val="0"/>
                <w:numId w:val="21"/>
              </w:numPr>
            </w:pPr>
            <w:r>
              <w:t xml:space="preserve">We </w:t>
            </w:r>
            <w:r w:rsidRPr="00400BB6">
              <w:t>protect</w:t>
            </w:r>
            <w:r>
              <w:t xml:space="preserve"> staff</w:t>
            </w:r>
            <w:r w:rsidRPr="00400BB6">
              <w:t xml:space="preserve"> from unwanted, significant or repeated religious advances at work. </w:t>
            </w:r>
          </w:p>
          <w:p w:rsidR="00400BB6" w:rsidRDefault="00400BB6" w:rsidP="00400BB6">
            <w:pPr>
              <w:pStyle w:val="Normal2"/>
              <w:numPr>
                <w:ilvl w:val="0"/>
                <w:numId w:val="21"/>
              </w:numPr>
            </w:pPr>
            <w:r>
              <w:t>We do not allow that e</w:t>
            </w:r>
            <w:r w:rsidRPr="00400BB6">
              <w:t xml:space="preserve">xplicit religious literature </w:t>
            </w:r>
            <w:r>
              <w:t xml:space="preserve">is </w:t>
            </w:r>
            <w:r w:rsidRPr="00400BB6">
              <w:t xml:space="preserve">disseminated at work. </w:t>
            </w:r>
          </w:p>
          <w:p w:rsidR="00400BB6" w:rsidRDefault="00400BB6" w:rsidP="00400BB6">
            <w:pPr>
              <w:pStyle w:val="Normal2"/>
              <w:numPr>
                <w:ilvl w:val="0"/>
                <w:numId w:val="21"/>
              </w:numPr>
            </w:pPr>
            <w:r w:rsidRPr="00400BB6">
              <w:t xml:space="preserve">Work </w:t>
            </w:r>
            <w:r>
              <w:t>notice boards cannot</w:t>
            </w:r>
            <w:r w:rsidRPr="00400BB6">
              <w:t xml:space="preserve"> be used for religious purposes or messages. </w:t>
            </w:r>
          </w:p>
          <w:p w:rsidR="00901D27" w:rsidRDefault="00400BB6" w:rsidP="00400BB6">
            <w:pPr>
              <w:pStyle w:val="Normal2"/>
              <w:numPr>
                <w:ilvl w:val="0"/>
                <w:numId w:val="21"/>
              </w:numPr>
            </w:pPr>
            <w:r>
              <w:t>We uphold New Zealand/Aotearoa law, namely t</w:t>
            </w:r>
            <w:r w:rsidRPr="00400BB6">
              <w:t xml:space="preserve">he right to have a religious belief </w:t>
            </w:r>
            <w:r>
              <w:t xml:space="preserve">or </w:t>
            </w:r>
            <w:r w:rsidRPr="00400BB6">
              <w:t>not to hold religious beliefs</w:t>
            </w:r>
            <w:r>
              <w:t xml:space="preserve">. </w:t>
            </w:r>
          </w:p>
          <w:p w:rsidR="00400BB6" w:rsidRDefault="00400BB6" w:rsidP="00400BB6">
            <w:pPr>
              <w:pStyle w:val="Normal2"/>
              <w:numPr>
                <w:ilvl w:val="0"/>
                <w:numId w:val="21"/>
              </w:numPr>
            </w:pPr>
            <w:r>
              <w:t xml:space="preserve">We acknowledge that is not always easy for an employee to withdraw from group activities such as a religious karakia. </w:t>
            </w:r>
          </w:p>
          <w:p w:rsidR="0086102D" w:rsidRDefault="0086102D" w:rsidP="0086102D">
            <w:pPr>
              <w:pStyle w:val="Normal2"/>
              <w:numPr>
                <w:ilvl w:val="0"/>
                <w:numId w:val="21"/>
              </w:numPr>
            </w:pPr>
            <w:r>
              <w:t xml:space="preserve">We are </w:t>
            </w:r>
            <w:r w:rsidR="00400BB6" w:rsidRPr="00400BB6">
              <w:t>aware that for some employees karakia and waiata at work can raise religious concerns</w:t>
            </w:r>
            <w:r>
              <w:t xml:space="preserve">. We provide opportunities to discuss this concern with employees. </w:t>
            </w:r>
          </w:p>
          <w:p w:rsidR="00400BB6" w:rsidRDefault="0086102D" w:rsidP="0086102D">
            <w:pPr>
              <w:pStyle w:val="Normal2"/>
              <w:numPr>
                <w:ilvl w:val="0"/>
                <w:numId w:val="21"/>
              </w:numPr>
            </w:pPr>
            <w:r>
              <w:t>We have a karakia and waiata policy and procedure that provides a guideline how we approach this aspect of our bi-cultural practices.</w:t>
            </w:r>
          </w:p>
        </w:tc>
      </w:tr>
    </w:tbl>
    <w:p w:rsidR="00C00301" w:rsidRDefault="00C00301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7B77CF" w:rsidRDefault="007B77CF"/>
    <w:p w:rsidR="00A74816" w:rsidRDefault="00A74816"/>
    <w:p w:rsidR="00FC4718" w:rsidRDefault="00FC4718" w:rsidP="005C3105">
      <w:pPr>
        <w:jc w:val="left"/>
        <w:rPr>
          <w:rStyle w:val="Hyperlink"/>
        </w:rPr>
      </w:pPr>
    </w:p>
    <w:p w:rsidR="00FB73D9" w:rsidRDefault="00FB73D9"/>
    <w:p w:rsidR="00FB73D9" w:rsidRDefault="00FB73D9"/>
    <w:p w:rsidR="00FB73D9" w:rsidRDefault="00FB73D9"/>
    <w:p w:rsidR="00FB73D9" w:rsidRDefault="00FB73D9"/>
    <w:p w:rsidR="005C3105" w:rsidRPr="00F817A9" w:rsidRDefault="004D5420" w:rsidP="006209AE">
      <w:pPr>
        <w:pStyle w:val="Heading1"/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5C3105" w:rsidRPr="00F817A9">
        <w:rPr>
          <w:rFonts w:ascii="Calibri" w:hAnsi="Calibri" w:cs="Calibri"/>
          <w:sz w:val="28"/>
          <w:szCs w:val="28"/>
        </w:rPr>
        <w:t>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  <w:r w:rsidRPr="00F817A9">
              <w:rPr>
                <w:rFonts w:eastAsia="Times New Roman" w:cs="Calibri"/>
                <w:lang w:eastAsia="en-NZ"/>
              </w:rPr>
              <w:t>Date</w:t>
            </w: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  <w:tr w:rsidR="005C3105" w:rsidRPr="00F817A9" w:rsidTr="00F817A9">
        <w:tc>
          <w:tcPr>
            <w:tcW w:w="4111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  <w:tc>
          <w:tcPr>
            <w:tcW w:w="2268" w:type="dxa"/>
            <w:shd w:val="clear" w:color="auto" w:fill="auto"/>
          </w:tcPr>
          <w:p w:rsidR="005C3105" w:rsidRPr="00F817A9" w:rsidRDefault="005C3105" w:rsidP="00F817A9">
            <w:pPr>
              <w:tabs>
                <w:tab w:val="left" w:pos="1275"/>
              </w:tabs>
              <w:jc w:val="left"/>
              <w:rPr>
                <w:rFonts w:eastAsia="Times New Roman" w:cs="Calibri"/>
                <w:lang w:eastAsia="en-NZ"/>
              </w:rPr>
            </w:pPr>
          </w:p>
        </w:tc>
      </w:tr>
    </w:tbl>
    <w:p w:rsidR="007412AC" w:rsidRPr="005C3105" w:rsidRDefault="005C3105" w:rsidP="005C3105">
      <w:pPr>
        <w:tabs>
          <w:tab w:val="left" w:pos="1515"/>
          <w:tab w:val="center" w:pos="4513"/>
        </w:tabs>
        <w:jc w:val="left"/>
      </w:pPr>
      <w:r>
        <w:tab/>
      </w:r>
      <w:r>
        <w:tab/>
      </w:r>
      <w:r>
        <w:tab/>
      </w:r>
    </w:p>
    <w:sectPr w:rsidR="007412AC" w:rsidRPr="005C3105" w:rsidSect="00605EA8">
      <w:headerReference w:type="default" r:id="rId30"/>
      <w:footerReference w:type="default" r:id="rId31"/>
      <w:pgSz w:w="11906" w:h="16838"/>
      <w:pgMar w:top="1440" w:right="991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62C" w:rsidRDefault="001F562C" w:rsidP="009739E4">
      <w:r>
        <w:separator/>
      </w:r>
    </w:p>
  </w:endnote>
  <w:endnote w:type="continuationSeparator" w:id="0">
    <w:p w:rsidR="001F562C" w:rsidRDefault="001F562C" w:rsidP="0097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B52D17" w:rsidTr="004F1E5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1901CC">
          <w:pPr>
            <w:pStyle w:val="Footer"/>
            <w:rPr>
              <w:rFonts w:cs="Calibri"/>
            </w:rPr>
          </w:pPr>
          <w:r>
            <w:rPr>
              <w:rFonts w:cs="Calibri"/>
            </w:rPr>
            <w:t>V3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Issued: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Nov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GSHarnisch</w:t>
          </w:r>
        </w:p>
      </w:tc>
      <w:tc>
        <w:tcPr>
          <w:tcW w:w="862" w:type="dxa"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Review: </w:t>
          </w:r>
        </w:p>
      </w:tc>
      <w:tc>
        <w:tcPr>
          <w:tcW w:w="1406" w:type="dxa"/>
        </w:tcPr>
        <w:p w:rsidR="00B52D17" w:rsidRDefault="00B52D17" w:rsidP="001901CC">
          <w:pPr>
            <w:pStyle w:val="Footer"/>
            <w:jc w:val="left"/>
            <w:rPr>
              <w:rFonts w:cs="Calibri"/>
            </w:rPr>
          </w:pPr>
          <w:r>
            <w:rPr>
              <w:rFonts w:cs="Calibri"/>
            </w:rPr>
            <w:t>Nov 2023</w:t>
          </w:r>
        </w:p>
      </w:tc>
      <w:tc>
        <w:tcPr>
          <w:tcW w:w="1560" w:type="dxa"/>
        </w:tcPr>
        <w:p w:rsidR="00B52D17" w:rsidRDefault="00B52D17" w:rsidP="004F1E59">
          <w:pPr>
            <w:pStyle w:val="Footer"/>
            <w:rPr>
              <w:rFonts w:cs="Calibri"/>
            </w:rPr>
          </w:pPr>
          <w:r>
            <w:rPr>
              <w:rFonts w:cs="Calibri"/>
            </w:rPr>
            <w:t>Authorised by:</w:t>
          </w:r>
        </w:p>
      </w:tc>
      <w:tc>
        <w:tcPr>
          <w:tcW w:w="1275" w:type="dxa"/>
        </w:tcPr>
        <w:p w:rsidR="00B52D17" w:rsidRDefault="00B52D17" w:rsidP="004F1E59">
          <w:pPr>
            <w:pStyle w:val="Footer"/>
            <w:rPr>
              <w:rFonts w:cs="Calibri"/>
            </w:rPr>
          </w:pPr>
        </w:p>
      </w:tc>
    </w:tr>
  </w:tbl>
  <w:p w:rsidR="00B52D17" w:rsidRDefault="00B5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62C" w:rsidRDefault="001F562C" w:rsidP="009739E4">
      <w:r>
        <w:separator/>
      </w:r>
    </w:p>
  </w:footnote>
  <w:footnote w:type="continuationSeparator" w:id="0">
    <w:p w:rsidR="001F562C" w:rsidRDefault="001F562C" w:rsidP="0097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D17" w:rsidRPr="004F1E59" w:rsidRDefault="00B52D17" w:rsidP="004F1E59">
    <w:pPr>
      <w:pStyle w:val="Header"/>
      <w:jc w:val="right"/>
      <w:rPr>
        <w:rFonts w:cs="Calibri"/>
      </w:rPr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-201930</wp:posOffset>
              </wp:positionV>
              <wp:extent cx="2198370" cy="34290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D17" w:rsidRPr="004F1E59" w:rsidRDefault="00B52D17" w:rsidP="004F1E59">
                          <w:pPr>
                            <w:rPr>
                              <w:rFonts w:cs="Calibri"/>
                            </w:rPr>
                          </w:pPr>
                          <w:r w:rsidRPr="004F1E59">
                            <w:rPr>
                              <w:rFonts w:cs="Calibri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95pt;margin-top:-15.9pt;width:173.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">
              <v:textbox>
                <w:txbxContent>
                  <w:p w:rsidR="00B52D17" w:rsidRPr="004F1E59" w:rsidRDefault="00B52D17" w:rsidP="004F1E59">
                    <w:pPr>
                      <w:rPr>
                        <w:rFonts w:cs="Calibri"/>
                      </w:rPr>
                    </w:pPr>
                    <w:r w:rsidRPr="004F1E59">
                      <w:rPr>
                        <w:rFonts w:cs="Calibri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</w:rPr>
      <w:t xml:space="preserve">  </w:t>
    </w:r>
    <w:r w:rsidRPr="004F1E59">
      <w:rPr>
        <w:rFonts w:cs="Calibri"/>
      </w:rPr>
      <w:t xml:space="preserve">Page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PAGE </w:instrText>
    </w:r>
    <w:r w:rsidRPr="004F1E59">
      <w:rPr>
        <w:rFonts w:cs="Calibri"/>
        <w:b/>
        <w:bCs/>
      </w:rPr>
      <w:fldChar w:fldCharType="separate"/>
    </w:r>
    <w:r w:rsidR="00AC7FB0">
      <w:rPr>
        <w:rFonts w:cs="Calibri"/>
        <w:b/>
        <w:bCs/>
        <w:noProof/>
      </w:rPr>
      <w:t>9</w:t>
    </w:r>
    <w:r w:rsidRPr="004F1E59">
      <w:rPr>
        <w:rFonts w:cs="Calibri"/>
        <w:b/>
        <w:bCs/>
      </w:rPr>
      <w:fldChar w:fldCharType="end"/>
    </w:r>
    <w:r w:rsidRPr="004F1E59">
      <w:rPr>
        <w:rFonts w:cs="Calibri"/>
      </w:rPr>
      <w:t xml:space="preserve"> of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NUMPAGES  </w:instrText>
    </w:r>
    <w:r w:rsidRPr="004F1E59">
      <w:rPr>
        <w:rFonts w:cs="Calibri"/>
        <w:b/>
        <w:bCs/>
      </w:rPr>
      <w:fldChar w:fldCharType="separate"/>
    </w:r>
    <w:r w:rsidR="00AC7FB0">
      <w:rPr>
        <w:rFonts w:cs="Calibri"/>
        <w:b/>
        <w:bCs/>
        <w:noProof/>
      </w:rPr>
      <w:t>13</w:t>
    </w:r>
    <w:r w:rsidRPr="004F1E59">
      <w:rPr>
        <w:rFonts w:cs="Calibri"/>
        <w:b/>
        <w:bCs/>
      </w:rPr>
      <w:fldChar w:fldCharType="end"/>
    </w:r>
  </w:p>
  <w:p w:rsidR="00B52D17" w:rsidRPr="005C3105" w:rsidRDefault="00B52D17" w:rsidP="009F1B33">
    <w:pPr>
      <w:pStyle w:val="Header"/>
      <w:tabs>
        <w:tab w:val="clear" w:pos="4513"/>
        <w:tab w:val="center" w:pos="3402"/>
      </w:tabs>
      <w:jc w:val="both"/>
      <w:rPr>
        <w:rFonts w:ascii="Arial" w:hAnsi="Arial" w:cs="Arial"/>
        <w:b/>
        <w:sz w:val="28"/>
        <w:szCs w:val="28"/>
      </w:rPr>
    </w:pPr>
    <w:r>
      <w:rPr>
        <w:rFonts w:cs="Calibri"/>
        <w:b/>
        <w:sz w:val="28"/>
        <w:szCs w:val="28"/>
      </w:rPr>
      <w:t>Diversity and Inclusion at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FF"/>
    <w:multiLevelType w:val="hybridMultilevel"/>
    <w:tmpl w:val="79E24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A75"/>
    <w:multiLevelType w:val="hybridMultilevel"/>
    <w:tmpl w:val="04EE9C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562DE"/>
    <w:multiLevelType w:val="hybridMultilevel"/>
    <w:tmpl w:val="5BD2F4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FBF"/>
    <w:multiLevelType w:val="hybridMultilevel"/>
    <w:tmpl w:val="17D0F6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D1B68"/>
    <w:multiLevelType w:val="hybridMultilevel"/>
    <w:tmpl w:val="23086A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4343B"/>
    <w:multiLevelType w:val="hybridMultilevel"/>
    <w:tmpl w:val="EAF2E6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660D2"/>
    <w:multiLevelType w:val="hybridMultilevel"/>
    <w:tmpl w:val="36F833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615C8"/>
    <w:multiLevelType w:val="hybridMultilevel"/>
    <w:tmpl w:val="999684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636"/>
    <w:multiLevelType w:val="hybridMultilevel"/>
    <w:tmpl w:val="53880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519"/>
    <w:multiLevelType w:val="multilevel"/>
    <w:tmpl w:val="0FB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96341"/>
    <w:multiLevelType w:val="hybridMultilevel"/>
    <w:tmpl w:val="F1A03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365ED"/>
    <w:multiLevelType w:val="hybridMultilevel"/>
    <w:tmpl w:val="11C86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0ACE"/>
    <w:multiLevelType w:val="hybridMultilevel"/>
    <w:tmpl w:val="6D2A6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4639"/>
    <w:multiLevelType w:val="hybridMultilevel"/>
    <w:tmpl w:val="7BFCF9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F12E8"/>
    <w:multiLevelType w:val="hybridMultilevel"/>
    <w:tmpl w:val="60365F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86A74"/>
    <w:multiLevelType w:val="hybridMultilevel"/>
    <w:tmpl w:val="5C2A179C"/>
    <w:lvl w:ilvl="0" w:tplc="2570C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03005"/>
    <w:multiLevelType w:val="hybridMultilevel"/>
    <w:tmpl w:val="FCEA5D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A44A4"/>
    <w:multiLevelType w:val="hybridMultilevel"/>
    <w:tmpl w:val="0B66A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46D71"/>
    <w:multiLevelType w:val="hybridMultilevel"/>
    <w:tmpl w:val="CD585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C6544"/>
    <w:multiLevelType w:val="hybridMultilevel"/>
    <w:tmpl w:val="707CBB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74D52"/>
    <w:multiLevelType w:val="hybridMultilevel"/>
    <w:tmpl w:val="167028A6"/>
    <w:lvl w:ilvl="0" w:tplc="BCF20C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BD4"/>
    <w:multiLevelType w:val="hybridMultilevel"/>
    <w:tmpl w:val="747EA744"/>
    <w:lvl w:ilvl="0" w:tplc="8DC075A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E85346"/>
    <w:multiLevelType w:val="hybridMultilevel"/>
    <w:tmpl w:val="C58E79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7481B"/>
    <w:multiLevelType w:val="hybridMultilevel"/>
    <w:tmpl w:val="DE40FF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27CEA"/>
    <w:multiLevelType w:val="hybridMultilevel"/>
    <w:tmpl w:val="106431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03E3B"/>
    <w:multiLevelType w:val="hybridMultilevel"/>
    <w:tmpl w:val="5C36F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3306"/>
    <w:multiLevelType w:val="hybridMultilevel"/>
    <w:tmpl w:val="D82807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0B2CEB"/>
    <w:multiLevelType w:val="hybridMultilevel"/>
    <w:tmpl w:val="03EAA1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C5501"/>
    <w:multiLevelType w:val="multilevel"/>
    <w:tmpl w:val="988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E1DE3"/>
    <w:multiLevelType w:val="hybridMultilevel"/>
    <w:tmpl w:val="6BA2B1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3530D"/>
    <w:multiLevelType w:val="hybridMultilevel"/>
    <w:tmpl w:val="C928B530"/>
    <w:lvl w:ilvl="0" w:tplc="8DC07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A42F63"/>
    <w:multiLevelType w:val="hybridMultilevel"/>
    <w:tmpl w:val="443653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B4338"/>
    <w:multiLevelType w:val="hybridMultilevel"/>
    <w:tmpl w:val="1C4272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E5114"/>
    <w:multiLevelType w:val="hybridMultilevel"/>
    <w:tmpl w:val="C706E9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71845"/>
    <w:multiLevelType w:val="multilevel"/>
    <w:tmpl w:val="7620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5F6ED5"/>
    <w:multiLevelType w:val="hybridMultilevel"/>
    <w:tmpl w:val="1DF83E0C"/>
    <w:lvl w:ilvl="0" w:tplc="8DC07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37CD6"/>
    <w:multiLevelType w:val="hybridMultilevel"/>
    <w:tmpl w:val="3B6291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F5054A"/>
    <w:multiLevelType w:val="hybridMultilevel"/>
    <w:tmpl w:val="116CE1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FC183E"/>
    <w:multiLevelType w:val="hybridMultilevel"/>
    <w:tmpl w:val="6A84AF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D0BCB"/>
    <w:multiLevelType w:val="hybridMultilevel"/>
    <w:tmpl w:val="12245A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90482"/>
    <w:multiLevelType w:val="hybridMultilevel"/>
    <w:tmpl w:val="AFBAF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36E15"/>
    <w:multiLevelType w:val="hybridMultilevel"/>
    <w:tmpl w:val="E350F7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66E36"/>
    <w:multiLevelType w:val="hybridMultilevel"/>
    <w:tmpl w:val="C9206DC8"/>
    <w:lvl w:ilvl="0" w:tplc="D7768596">
      <w:start w:val="1"/>
      <w:numFmt w:val="bullet"/>
      <w:pStyle w:val="Norma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B7829"/>
    <w:multiLevelType w:val="hybridMultilevel"/>
    <w:tmpl w:val="FF0E84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A25C0C"/>
    <w:multiLevelType w:val="hybridMultilevel"/>
    <w:tmpl w:val="2AA2CF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E251AD"/>
    <w:multiLevelType w:val="multilevel"/>
    <w:tmpl w:val="3D2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3"/>
  </w:num>
  <w:num w:numId="4">
    <w:abstractNumId w:val="1"/>
  </w:num>
  <w:num w:numId="5">
    <w:abstractNumId w:val="15"/>
  </w:num>
  <w:num w:numId="6">
    <w:abstractNumId w:val="42"/>
  </w:num>
  <w:num w:numId="7">
    <w:abstractNumId w:val="30"/>
  </w:num>
  <w:num w:numId="8">
    <w:abstractNumId w:val="35"/>
  </w:num>
  <w:num w:numId="9">
    <w:abstractNumId w:val="21"/>
  </w:num>
  <w:num w:numId="10">
    <w:abstractNumId w:val="45"/>
  </w:num>
  <w:num w:numId="11">
    <w:abstractNumId w:val="28"/>
  </w:num>
  <w:num w:numId="12">
    <w:abstractNumId w:val="34"/>
  </w:num>
  <w:num w:numId="13">
    <w:abstractNumId w:val="16"/>
  </w:num>
  <w:num w:numId="14">
    <w:abstractNumId w:val="38"/>
  </w:num>
  <w:num w:numId="15">
    <w:abstractNumId w:val="7"/>
  </w:num>
  <w:num w:numId="16">
    <w:abstractNumId w:val="6"/>
  </w:num>
  <w:num w:numId="17">
    <w:abstractNumId w:val="19"/>
  </w:num>
  <w:num w:numId="18">
    <w:abstractNumId w:val="39"/>
  </w:num>
  <w:num w:numId="19">
    <w:abstractNumId w:val="10"/>
  </w:num>
  <w:num w:numId="20">
    <w:abstractNumId w:val="13"/>
  </w:num>
  <w:num w:numId="21">
    <w:abstractNumId w:val="0"/>
  </w:num>
  <w:num w:numId="22">
    <w:abstractNumId w:val="9"/>
  </w:num>
  <w:num w:numId="23">
    <w:abstractNumId w:val="29"/>
  </w:num>
  <w:num w:numId="24">
    <w:abstractNumId w:val="40"/>
  </w:num>
  <w:num w:numId="25">
    <w:abstractNumId w:val="11"/>
  </w:num>
  <w:num w:numId="26">
    <w:abstractNumId w:val="20"/>
  </w:num>
  <w:num w:numId="27">
    <w:abstractNumId w:val="8"/>
  </w:num>
  <w:num w:numId="28">
    <w:abstractNumId w:val="12"/>
  </w:num>
  <w:num w:numId="29">
    <w:abstractNumId w:val="14"/>
  </w:num>
  <w:num w:numId="30">
    <w:abstractNumId w:val="17"/>
  </w:num>
  <w:num w:numId="31">
    <w:abstractNumId w:val="5"/>
  </w:num>
  <w:num w:numId="32">
    <w:abstractNumId w:val="44"/>
  </w:num>
  <w:num w:numId="33">
    <w:abstractNumId w:val="23"/>
  </w:num>
  <w:num w:numId="34">
    <w:abstractNumId w:val="22"/>
  </w:num>
  <w:num w:numId="35">
    <w:abstractNumId w:val="27"/>
  </w:num>
  <w:num w:numId="36">
    <w:abstractNumId w:val="24"/>
  </w:num>
  <w:num w:numId="37">
    <w:abstractNumId w:val="37"/>
  </w:num>
  <w:num w:numId="38">
    <w:abstractNumId w:val="41"/>
  </w:num>
  <w:num w:numId="39">
    <w:abstractNumId w:val="25"/>
  </w:num>
  <w:num w:numId="40">
    <w:abstractNumId w:val="36"/>
  </w:num>
  <w:num w:numId="41">
    <w:abstractNumId w:val="32"/>
  </w:num>
  <w:num w:numId="42">
    <w:abstractNumId w:val="4"/>
  </w:num>
  <w:num w:numId="43">
    <w:abstractNumId w:val="2"/>
  </w:num>
  <w:num w:numId="44">
    <w:abstractNumId w:val="26"/>
  </w:num>
  <w:num w:numId="45">
    <w:abstractNumId w:val="31"/>
  </w:num>
  <w:num w:numId="4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C"/>
    <w:rsid w:val="00001BC0"/>
    <w:rsid w:val="000157DE"/>
    <w:rsid w:val="00016D6B"/>
    <w:rsid w:val="00037CDC"/>
    <w:rsid w:val="00042B0C"/>
    <w:rsid w:val="000439E9"/>
    <w:rsid w:val="00062D4E"/>
    <w:rsid w:val="00064C2B"/>
    <w:rsid w:val="00070D5C"/>
    <w:rsid w:val="000850B9"/>
    <w:rsid w:val="00085F4B"/>
    <w:rsid w:val="0008779B"/>
    <w:rsid w:val="00095D8D"/>
    <w:rsid w:val="00096D3D"/>
    <w:rsid w:val="000A04D4"/>
    <w:rsid w:val="000A4E9B"/>
    <w:rsid w:val="000B40A7"/>
    <w:rsid w:val="000D1AFF"/>
    <w:rsid w:val="000E5AD2"/>
    <w:rsid w:val="000F0510"/>
    <w:rsid w:val="0011616F"/>
    <w:rsid w:val="001211A6"/>
    <w:rsid w:val="001256F1"/>
    <w:rsid w:val="001440D4"/>
    <w:rsid w:val="00166A26"/>
    <w:rsid w:val="00170220"/>
    <w:rsid w:val="0017539C"/>
    <w:rsid w:val="001901CC"/>
    <w:rsid w:val="001B041C"/>
    <w:rsid w:val="001B6760"/>
    <w:rsid w:val="001C2D20"/>
    <w:rsid w:val="001C60A5"/>
    <w:rsid w:val="001C6BDA"/>
    <w:rsid w:val="001C793E"/>
    <w:rsid w:val="001D66E9"/>
    <w:rsid w:val="001E092B"/>
    <w:rsid w:val="001F06C2"/>
    <w:rsid w:val="001F3B30"/>
    <w:rsid w:val="001F3B3B"/>
    <w:rsid w:val="001F562C"/>
    <w:rsid w:val="00221748"/>
    <w:rsid w:val="00230196"/>
    <w:rsid w:val="00231EB9"/>
    <w:rsid w:val="00234E67"/>
    <w:rsid w:val="00242291"/>
    <w:rsid w:val="00260D0B"/>
    <w:rsid w:val="00263471"/>
    <w:rsid w:val="00263878"/>
    <w:rsid w:val="002667B1"/>
    <w:rsid w:val="002753C4"/>
    <w:rsid w:val="00275EA6"/>
    <w:rsid w:val="0029227C"/>
    <w:rsid w:val="002929D6"/>
    <w:rsid w:val="0029468F"/>
    <w:rsid w:val="002C2409"/>
    <w:rsid w:val="002D26B5"/>
    <w:rsid w:val="002D580B"/>
    <w:rsid w:val="002E4898"/>
    <w:rsid w:val="002F2662"/>
    <w:rsid w:val="00306939"/>
    <w:rsid w:val="00320036"/>
    <w:rsid w:val="00325A58"/>
    <w:rsid w:val="00331F0F"/>
    <w:rsid w:val="00344E4C"/>
    <w:rsid w:val="00346E3B"/>
    <w:rsid w:val="003502DC"/>
    <w:rsid w:val="00361601"/>
    <w:rsid w:val="003914BB"/>
    <w:rsid w:val="00396F09"/>
    <w:rsid w:val="00397D47"/>
    <w:rsid w:val="003B060E"/>
    <w:rsid w:val="003B063D"/>
    <w:rsid w:val="003B788A"/>
    <w:rsid w:val="003C06B7"/>
    <w:rsid w:val="003C0DA4"/>
    <w:rsid w:val="003C10D8"/>
    <w:rsid w:val="003C3A17"/>
    <w:rsid w:val="003C6AE7"/>
    <w:rsid w:val="003D3B3D"/>
    <w:rsid w:val="003E2F78"/>
    <w:rsid w:val="003F1879"/>
    <w:rsid w:val="00400BB6"/>
    <w:rsid w:val="004037DD"/>
    <w:rsid w:val="00403FEC"/>
    <w:rsid w:val="00416D9D"/>
    <w:rsid w:val="004444CB"/>
    <w:rsid w:val="00450CF5"/>
    <w:rsid w:val="00454696"/>
    <w:rsid w:val="0048075E"/>
    <w:rsid w:val="00487AFF"/>
    <w:rsid w:val="0049418B"/>
    <w:rsid w:val="00497716"/>
    <w:rsid w:val="004B0E71"/>
    <w:rsid w:val="004C200C"/>
    <w:rsid w:val="004C47F9"/>
    <w:rsid w:val="004D0381"/>
    <w:rsid w:val="004D3414"/>
    <w:rsid w:val="004D5420"/>
    <w:rsid w:val="004E0CEA"/>
    <w:rsid w:val="004F1E59"/>
    <w:rsid w:val="004F4626"/>
    <w:rsid w:val="00515316"/>
    <w:rsid w:val="00517281"/>
    <w:rsid w:val="00517A57"/>
    <w:rsid w:val="00532A69"/>
    <w:rsid w:val="00557F91"/>
    <w:rsid w:val="00562D3F"/>
    <w:rsid w:val="00575CD5"/>
    <w:rsid w:val="005861B8"/>
    <w:rsid w:val="00596756"/>
    <w:rsid w:val="00596CFC"/>
    <w:rsid w:val="005A053D"/>
    <w:rsid w:val="005C3105"/>
    <w:rsid w:val="005C4100"/>
    <w:rsid w:val="005D096E"/>
    <w:rsid w:val="005D472A"/>
    <w:rsid w:val="005D4F5C"/>
    <w:rsid w:val="005D5C4E"/>
    <w:rsid w:val="005D6181"/>
    <w:rsid w:val="005D68A4"/>
    <w:rsid w:val="005F3627"/>
    <w:rsid w:val="005F455F"/>
    <w:rsid w:val="00605EA8"/>
    <w:rsid w:val="0061248F"/>
    <w:rsid w:val="00616126"/>
    <w:rsid w:val="006209AE"/>
    <w:rsid w:val="006328E7"/>
    <w:rsid w:val="006404E7"/>
    <w:rsid w:val="006413C4"/>
    <w:rsid w:val="006427D6"/>
    <w:rsid w:val="00652B60"/>
    <w:rsid w:val="006543A8"/>
    <w:rsid w:val="00654E49"/>
    <w:rsid w:val="00657165"/>
    <w:rsid w:val="006578EF"/>
    <w:rsid w:val="006579FB"/>
    <w:rsid w:val="006611D6"/>
    <w:rsid w:val="00667ED7"/>
    <w:rsid w:val="006753D0"/>
    <w:rsid w:val="00676260"/>
    <w:rsid w:val="006909F9"/>
    <w:rsid w:val="0069172A"/>
    <w:rsid w:val="006A2750"/>
    <w:rsid w:val="006B452D"/>
    <w:rsid w:val="006C51D0"/>
    <w:rsid w:val="006F5050"/>
    <w:rsid w:val="007151A0"/>
    <w:rsid w:val="00735968"/>
    <w:rsid w:val="007360AF"/>
    <w:rsid w:val="007412AC"/>
    <w:rsid w:val="00756855"/>
    <w:rsid w:val="00760380"/>
    <w:rsid w:val="00767707"/>
    <w:rsid w:val="00784031"/>
    <w:rsid w:val="007843CA"/>
    <w:rsid w:val="007A0B5B"/>
    <w:rsid w:val="007A1F96"/>
    <w:rsid w:val="007B4115"/>
    <w:rsid w:val="007B77CF"/>
    <w:rsid w:val="007C40D1"/>
    <w:rsid w:val="007E0E6F"/>
    <w:rsid w:val="007E1AED"/>
    <w:rsid w:val="007F0175"/>
    <w:rsid w:val="00801999"/>
    <w:rsid w:val="00806C65"/>
    <w:rsid w:val="00814EED"/>
    <w:rsid w:val="00824BC0"/>
    <w:rsid w:val="00831320"/>
    <w:rsid w:val="00844DF9"/>
    <w:rsid w:val="008467F6"/>
    <w:rsid w:val="0085497A"/>
    <w:rsid w:val="00854CDB"/>
    <w:rsid w:val="0086102D"/>
    <w:rsid w:val="008627DC"/>
    <w:rsid w:val="008713F5"/>
    <w:rsid w:val="008737DE"/>
    <w:rsid w:val="0087726F"/>
    <w:rsid w:val="0088409C"/>
    <w:rsid w:val="00892922"/>
    <w:rsid w:val="008B483D"/>
    <w:rsid w:val="008C39B6"/>
    <w:rsid w:val="008C60CA"/>
    <w:rsid w:val="008C66E5"/>
    <w:rsid w:val="008D1CC1"/>
    <w:rsid w:val="008D6789"/>
    <w:rsid w:val="008E01CA"/>
    <w:rsid w:val="008E180B"/>
    <w:rsid w:val="00901CC7"/>
    <w:rsid w:val="00901D27"/>
    <w:rsid w:val="00912675"/>
    <w:rsid w:val="00912CD6"/>
    <w:rsid w:val="00916796"/>
    <w:rsid w:val="0092129A"/>
    <w:rsid w:val="00923FC3"/>
    <w:rsid w:val="009411FA"/>
    <w:rsid w:val="009522C0"/>
    <w:rsid w:val="009553EB"/>
    <w:rsid w:val="00961055"/>
    <w:rsid w:val="00970F03"/>
    <w:rsid w:val="009739E4"/>
    <w:rsid w:val="00977F10"/>
    <w:rsid w:val="009B1860"/>
    <w:rsid w:val="009C4E42"/>
    <w:rsid w:val="009D14D4"/>
    <w:rsid w:val="009D6A26"/>
    <w:rsid w:val="009D7F7C"/>
    <w:rsid w:val="009F1B33"/>
    <w:rsid w:val="009F77FA"/>
    <w:rsid w:val="00A0216D"/>
    <w:rsid w:val="00A1234F"/>
    <w:rsid w:val="00A15097"/>
    <w:rsid w:val="00A22222"/>
    <w:rsid w:val="00A25FD2"/>
    <w:rsid w:val="00A40341"/>
    <w:rsid w:val="00A433E8"/>
    <w:rsid w:val="00A61220"/>
    <w:rsid w:val="00A63960"/>
    <w:rsid w:val="00A63ED7"/>
    <w:rsid w:val="00A64755"/>
    <w:rsid w:val="00A722D6"/>
    <w:rsid w:val="00A72ECA"/>
    <w:rsid w:val="00A74816"/>
    <w:rsid w:val="00A82F9F"/>
    <w:rsid w:val="00A961B7"/>
    <w:rsid w:val="00A978B8"/>
    <w:rsid w:val="00AB0022"/>
    <w:rsid w:val="00AB4F7C"/>
    <w:rsid w:val="00AB5A98"/>
    <w:rsid w:val="00AC299F"/>
    <w:rsid w:val="00AC4D96"/>
    <w:rsid w:val="00AC6A44"/>
    <w:rsid w:val="00AC7FB0"/>
    <w:rsid w:val="00AD7E95"/>
    <w:rsid w:val="00AF1740"/>
    <w:rsid w:val="00AF55A3"/>
    <w:rsid w:val="00B03435"/>
    <w:rsid w:val="00B16566"/>
    <w:rsid w:val="00B24D73"/>
    <w:rsid w:val="00B32877"/>
    <w:rsid w:val="00B3417A"/>
    <w:rsid w:val="00B42022"/>
    <w:rsid w:val="00B524AF"/>
    <w:rsid w:val="00B52D17"/>
    <w:rsid w:val="00B72B43"/>
    <w:rsid w:val="00B75BB8"/>
    <w:rsid w:val="00B86585"/>
    <w:rsid w:val="00B90BFB"/>
    <w:rsid w:val="00BA2C99"/>
    <w:rsid w:val="00BB6C82"/>
    <w:rsid w:val="00BC1F8C"/>
    <w:rsid w:val="00BD139C"/>
    <w:rsid w:val="00BE0595"/>
    <w:rsid w:val="00BE13B0"/>
    <w:rsid w:val="00BE6988"/>
    <w:rsid w:val="00BF0EF8"/>
    <w:rsid w:val="00BF16DA"/>
    <w:rsid w:val="00BF272A"/>
    <w:rsid w:val="00C00301"/>
    <w:rsid w:val="00C00ECA"/>
    <w:rsid w:val="00C07E7B"/>
    <w:rsid w:val="00C1134C"/>
    <w:rsid w:val="00C1239A"/>
    <w:rsid w:val="00C129C4"/>
    <w:rsid w:val="00C14880"/>
    <w:rsid w:val="00C279C0"/>
    <w:rsid w:val="00C3766F"/>
    <w:rsid w:val="00C97D65"/>
    <w:rsid w:val="00CA0CAC"/>
    <w:rsid w:val="00CB0248"/>
    <w:rsid w:val="00CB5C35"/>
    <w:rsid w:val="00CC0D5E"/>
    <w:rsid w:val="00CE4DE2"/>
    <w:rsid w:val="00CE7E1E"/>
    <w:rsid w:val="00CF44E0"/>
    <w:rsid w:val="00D15B94"/>
    <w:rsid w:val="00D342E4"/>
    <w:rsid w:val="00D34F82"/>
    <w:rsid w:val="00D35249"/>
    <w:rsid w:val="00D46DF0"/>
    <w:rsid w:val="00D53078"/>
    <w:rsid w:val="00D60597"/>
    <w:rsid w:val="00D70867"/>
    <w:rsid w:val="00D7418B"/>
    <w:rsid w:val="00D83216"/>
    <w:rsid w:val="00D87C29"/>
    <w:rsid w:val="00D9382E"/>
    <w:rsid w:val="00D94F5A"/>
    <w:rsid w:val="00DA1CFC"/>
    <w:rsid w:val="00DA32D0"/>
    <w:rsid w:val="00DB0D76"/>
    <w:rsid w:val="00DB70A1"/>
    <w:rsid w:val="00DD36C9"/>
    <w:rsid w:val="00DD4151"/>
    <w:rsid w:val="00DD4A3C"/>
    <w:rsid w:val="00DF6230"/>
    <w:rsid w:val="00E04910"/>
    <w:rsid w:val="00E05963"/>
    <w:rsid w:val="00E1255D"/>
    <w:rsid w:val="00E1669F"/>
    <w:rsid w:val="00E2033D"/>
    <w:rsid w:val="00E344A8"/>
    <w:rsid w:val="00E54624"/>
    <w:rsid w:val="00E71619"/>
    <w:rsid w:val="00E71794"/>
    <w:rsid w:val="00E75CB5"/>
    <w:rsid w:val="00E8232F"/>
    <w:rsid w:val="00E851EA"/>
    <w:rsid w:val="00E8594D"/>
    <w:rsid w:val="00E86159"/>
    <w:rsid w:val="00E86319"/>
    <w:rsid w:val="00E9153C"/>
    <w:rsid w:val="00E92E2E"/>
    <w:rsid w:val="00EB115C"/>
    <w:rsid w:val="00EB4873"/>
    <w:rsid w:val="00EC52F5"/>
    <w:rsid w:val="00EC7796"/>
    <w:rsid w:val="00ED1AB8"/>
    <w:rsid w:val="00ED2958"/>
    <w:rsid w:val="00ED508A"/>
    <w:rsid w:val="00EE7B43"/>
    <w:rsid w:val="00F03DB6"/>
    <w:rsid w:val="00F11768"/>
    <w:rsid w:val="00F20229"/>
    <w:rsid w:val="00F3755D"/>
    <w:rsid w:val="00F375E3"/>
    <w:rsid w:val="00F404D6"/>
    <w:rsid w:val="00F60D29"/>
    <w:rsid w:val="00F64495"/>
    <w:rsid w:val="00F817A9"/>
    <w:rsid w:val="00F8271D"/>
    <w:rsid w:val="00FA3E8A"/>
    <w:rsid w:val="00FB73D9"/>
    <w:rsid w:val="00FC2DAF"/>
    <w:rsid w:val="00FC4718"/>
    <w:rsid w:val="00FD0F4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8EF2E-0C10-47FB-9C4D-BF68B6D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6C65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31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E7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E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F5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4A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762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E4"/>
  </w:style>
  <w:style w:type="paragraph" w:styleId="Footer">
    <w:name w:val="footer"/>
    <w:basedOn w:val="Normal"/>
    <w:link w:val="FooterChar"/>
    <w:uiPriority w:val="99"/>
    <w:unhideWhenUsed/>
    <w:rsid w:val="00973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E4"/>
  </w:style>
  <w:style w:type="table" w:styleId="TableGrid">
    <w:name w:val="Table Grid"/>
    <w:basedOn w:val="TableNormal"/>
    <w:rsid w:val="009739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C310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E698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B0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DA1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D94F5A"/>
    <w:rPr>
      <w:rFonts w:ascii="Cambria" w:eastAsia="Times New Roman" w:hAnsi="Cambria" w:cs="Times New Roman"/>
      <w:color w:val="243F60"/>
    </w:rPr>
  </w:style>
  <w:style w:type="paragraph" w:styleId="NoSpacing">
    <w:name w:val="No Spacing"/>
    <w:next w:val="Normal"/>
    <w:autoRedefine/>
    <w:uiPriority w:val="1"/>
    <w:qFormat/>
    <w:rsid w:val="00D35249"/>
    <w:pPr>
      <w:jc w:val="center"/>
    </w:pPr>
    <w:rPr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D35249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E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Style1Char">
    <w:name w:val="Style1 Char"/>
    <w:basedOn w:val="DefaultParagraphFont"/>
    <w:link w:val="Style1"/>
    <w:rsid w:val="00D35249"/>
    <w:rPr>
      <w:rFonts w:eastAsia="Times New Roman"/>
      <w:sz w:val="22"/>
      <w:szCs w:val="22"/>
      <w:lang w:eastAsia="en-US"/>
    </w:rPr>
  </w:style>
  <w:style w:type="paragraph" w:customStyle="1" w:styleId="page-description">
    <w:name w:val="page-description"/>
    <w:basedOn w:val="Normal"/>
    <w:rsid w:val="007E0E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NormalWeb">
    <w:name w:val="Normal (Web)"/>
    <w:basedOn w:val="Normal"/>
    <w:link w:val="NormalWebChar"/>
    <w:uiPriority w:val="99"/>
    <w:unhideWhenUsed/>
    <w:rsid w:val="007E0E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external-text">
    <w:name w:val="external-text"/>
    <w:basedOn w:val="DefaultParagraphFont"/>
    <w:rsid w:val="007E0E6F"/>
  </w:style>
  <w:style w:type="character" w:customStyle="1" w:styleId="Heading4Char">
    <w:name w:val="Heading 4 Char"/>
    <w:basedOn w:val="DefaultParagraphFont"/>
    <w:link w:val="Heading4"/>
    <w:uiPriority w:val="9"/>
    <w:semiHidden/>
    <w:rsid w:val="007E0E6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onvisual-indicator">
    <w:name w:val="nonvisual-indicator"/>
    <w:basedOn w:val="DefaultParagraphFont"/>
    <w:rsid w:val="007E0E6F"/>
  </w:style>
  <w:style w:type="paragraph" w:customStyle="1" w:styleId="Normal1">
    <w:name w:val="Normal1"/>
    <w:basedOn w:val="Normal"/>
    <w:link w:val="normalChar"/>
    <w:rsid w:val="00042B0C"/>
    <w:pPr>
      <w:numPr>
        <w:numId w:val="6"/>
      </w:numPr>
      <w:jc w:val="left"/>
    </w:pPr>
    <w:rPr>
      <w:rFonts w:eastAsia="Times New Roman" w:cs="Calibri"/>
    </w:rPr>
  </w:style>
  <w:style w:type="character" w:customStyle="1" w:styleId="normalChar">
    <w:name w:val="normal Char"/>
    <w:basedOn w:val="DefaultParagraphFont"/>
    <w:link w:val="Normal1"/>
    <w:rsid w:val="00042B0C"/>
    <w:rPr>
      <w:rFonts w:eastAsia="Times New Roman" w:cs="Calibri"/>
      <w:sz w:val="22"/>
      <w:szCs w:val="22"/>
      <w:lang w:eastAsia="en-US"/>
    </w:rPr>
  </w:style>
  <w:style w:type="paragraph" w:customStyle="1" w:styleId="Normal2">
    <w:name w:val="Normal2"/>
    <w:basedOn w:val="NormalWeb"/>
    <w:link w:val="normalChar1"/>
    <w:qFormat/>
    <w:rsid w:val="004C200C"/>
    <w:rPr>
      <w:rFonts w:ascii="Calibri" w:hAnsi="Calibri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756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NormalWebChar">
    <w:name w:val="Normal (Web) Char"/>
    <w:basedOn w:val="DefaultParagraphFont"/>
    <w:link w:val="NormalWeb"/>
    <w:uiPriority w:val="99"/>
    <w:rsid w:val="004C200C"/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 Char1"/>
    <w:basedOn w:val="NormalWebChar"/>
    <w:link w:val="Normal2"/>
    <w:rsid w:val="004C200C"/>
    <w:rPr>
      <w:rFonts w:ascii="Times New Roman" w:eastAsia="Times New Roman" w:hAnsi="Times New Roman"/>
      <w:sz w:val="22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75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6756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675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16126"/>
    <w:rPr>
      <w:i/>
      <w:iCs/>
    </w:rPr>
  </w:style>
  <w:style w:type="character" w:styleId="Strong">
    <w:name w:val="Strong"/>
    <w:basedOn w:val="DefaultParagraphFont"/>
    <w:uiPriority w:val="22"/>
    <w:qFormat/>
    <w:rsid w:val="00616126"/>
    <w:rPr>
      <w:b/>
      <w:bCs/>
    </w:rPr>
  </w:style>
  <w:style w:type="character" w:customStyle="1" w:styleId="acopre">
    <w:name w:val="acopre"/>
    <w:basedOn w:val="DefaultParagraphFont"/>
    <w:rsid w:val="00D3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8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9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t.nz/act/public/1972/0118/latest/DLM407770.html" TargetMode="External"/><Relationship Id="rId18" Type="http://schemas.openxmlformats.org/officeDocument/2006/relationships/hyperlink" Target="http://www.neon.org.nz/trackingequalityatwork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legislation.govt.nz/act/public/2000/0024/latest/DLM58317.html" TargetMode="External"/><Relationship Id="rId17" Type="http://schemas.openxmlformats.org/officeDocument/2006/relationships/hyperlink" Target="https://shop.standards.govt.nz/catalog/8200:2015(NZS)/scope?" TargetMode="External"/><Relationship Id="rId25" Type="http://schemas.openxmlformats.org/officeDocument/2006/relationships/hyperlink" Target="https://www.msd.govt.nz/documents/about-msd-and-our-work/work-programmes/lead-programme-work/accessible-meetings-form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rc.co.nz/resources/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act/public/1990/0109/latest/DLM224792.html" TargetMode="External"/><Relationship Id="rId24" Type="http://schemas.openxmlformats.org/officeDocument/2006/relationships/hyperlink" Target="https://www.msd.govt.nz/documents/about-msd-and-our-work/work-programmes/initiatives/disabilityconfidentnz/toolkit-employing-disabled-people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versityworksnz.org.nz/why-diversity/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6.jpeg"/><Relationship Id="rId10" Type="http://schemas.openxmlformats.org/officeDocument/2006/relationships/hyperlink" Target="http://www.legislation.govt.nz/act/public/1993/0082/latest/DLM304212.html" TargetMode="External"/><Relationship Id="rId19" Type="http://schemas.openxmlformats.org/officeDocument/2006/relationships/hyperlink" Target="https://diversityworksnz.org.nz/media/3663/dw-case-model_web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2015/0070/latest/DLM5976660.html" TargetMode="External"/><Relationship Id="rId14" Type="http://schemas.openxmlformats.org/officeDocument/2006/relationships/hyperlink" Target="https://www.mckinsey.com/~/media/mckinsey/featured%20insights/diversity%20and%20inclusion/diversity%20wins%20how%20inclusion%20matters/diversity-wins-how-inclusion-matters-vf.pdf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outline.org.nz/workplace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employment.govt.nz/assets/_generated_pdfs/legislation-2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469D-E19B-4691-A307-CC3C2F31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24469</CharactersWithSpaces>
  <SharedDoc>false</SharedDoc>
  <HLinks>
    <vt:vector size="132" baseType="variant">
      <vt:variant>
        <vt:i4>7405693</vt:i4>
      </vt:variant>
      <vt:variant>
        <vt:i4>24</vt:i4>
      </vt:variant>
      <vt:variant>
        <vt:i4>0</vt:i4>
      </vt:variant>
      <vt:variant>
        <vt:i4>5</vt:i4>
      </vt:variant>
      <vt:variant>
        <vt:lpwstr>http://www.neon.org.nz/trackingequalityatwork/</vt:lpwstr>
      </vt:variant>
      <vt:variant>
        <vt:lpwstr/>
      </vt:variant>
      <vt:variant>
        <vt:i4>7733294</vt:i4>
      </vt:variant>
      <vt:variant>
        <vt:i4>21</vt:i4>
      </vt:variant>
      <vt:variant>
        <vt:i4>0</vt:i4>
      </vt:variant>
      <vt:variant>
        <vt:i4>5</vt:i4>
      </vt:variant>
      <vt:variant>
        <vt:lpwstr>http://www.hrc.co.nz/resources/</vt:lpwstr>
      </vt:variant>
      <vt:variant>
        <vt:lpwstr>equalemp</vt:lpwstr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http://www.eeotrust.org.nz/toolkits/index.cfm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http://www.eeotrust.org.nz/content/docs/information/Versatile Workplace - business success.pdf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http://www.legislation.govt.nz/act/public/1972/0118/latest/DLM407770.html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http://www.legislation.govt.nz/act/public/1992/0096/latest/DLM278829.html</vt:lpwstr>
      </vt:variant>
      <vt:variant>
        <vt:lpwstr/>
      </vt:variant>
      <vt:variant>
        <vt:i4>5898332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http://www.legislation.govt.nz/act/public/2000/0024/latest/DLM58317.html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http://www.legislation.govt.nz/act/public/1990/0109/latest/DLM224792.html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http://www.legislation.govt.nz/act/public/1993/0082/latest/DLM304212.html</vt:lpwstr>
      </vt:variant>
      <vt:variant>
        <vt:lpwstr/>
      </vt:variant>
      <vt:variant>
        <vt:i4>3997741</vt:i4>
      </vt:variant>
      <vt:variant>
        <vt:i4>36</vt:i4>
      </vt:variant>
      <vt:variant>
        <vt:i4>0</vt:i4>
      </vt:variant>
      <vt:variant>
        <vt:i4>5</vt:i4>
      </vt:variant>
      <vt:variant>
        <vt:lpwstr>http://dol.govt.nz/er/bestpractice/equity/index.asp</vt:lpwstr>
      </vt:variant>
      <vt:variant>
        <vt:lpwstr/>
      </vt:variant>
      <vt:variant>
        <vt:i4>7209070</vt:i4>
      </vt:variant>
      <vt:variant>
        <vt:i4>33</vt:i4>
      </vt:variant>
      <vt:variant>
        <vt:i4>0</vt:i4>
      </vt:variant>
      <vt:variant>
        <vt:i4>5</vt:i4>
      </vt:variant>
      <vt:variant>
        <vt:lpwstr>http://www.business.govt.nz/worksafe/tools-resources/bullying-prevention-tools</vt:lpwstr>
      </vt:variant>
      <vt:variant>
        <vt:lpwstr/>
      </vt:variant>
      <vt:variant>
        <vt:i4>131095</vt:i4>
      </vt:variant>
      <vt:variant>
        <vt:i4>30</vt:i4>
      </vt:variant>
      <vt:variant>
        <vt:i4>0</vt:i4>
      </vt:variant>
      <vt:variant>
        <vt:i4>5</vt:i4>
      </vt:variant>
      <vt:variant>
        <vt:lpwstr>http://www.hrc.co.nz/wp-content/uploads/2011/11/TGI-Fact-Sheet-F.html</vt:lpwstr>
      </vt:variant>
      <vt:variant>
        <vt:lpwstr/>
      </vt:variant>
      <vt:variant>
        <vt:i4>1638469</vt:i4>
      </vt:variant>
      <vt:variant>
        <vt:i4>27</vt:i4>
      </vt:variant>
      <vt:variant>
        <vt:i4>0</vt:i4>
      </vt:variant>
      <vt:variant>
        <vt:i4>5</vt:i4>
      </vt:variant>
      <vt:variant>
        <vt:lpwstr>http://www.hrc.co.nz/wp-content/uploads/2013/02/BornFreeEqual_for_Web.pdf</vt:lpwstr>
      </vt:variant>
      <vt:variant>
        <vt:lpwstr/>
      </vt:variant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http://www.hrc.co.nz/wp-content/uploads/2012/01/HRC_Religious-DiversityV6.pdf</vt:lpwstr>
      </vt:variant>
      <vt:variant>
        <vt:lpwstr/>
      </vt:variant>
      <vt:variant>
        <vt:i4>131096</vt:i4>
      </vt:variant>
      <vt:variant>
        <vt:i4>21</vt:i4>
      </vt:variant>
      <vt:variant>
        <vt:i4>0</vt:i4>
      </vt:variant>
      <vt:variant>
        <vt:i4>5</vt:i4>
      </vt:variant>
      <vt:variant>
        <vt:lpwstr>http://www.eeotrust.org.nz/content/docs/presentations/Diversity - Changing workplaces in New Zealand.pps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>http://www.hrc.co.nz/hrc_new/hrc/cms/files/documents/26-Nov-2008_19-38-27_English_Only_in_the_Workplace_1_.pdf</vt:lpwstr>
      </vt:variant>
      <vt:variant>
        <vt:lpwstr/>
      </vt:variant>
      <vt:variant>
        <vt:i4>65573</vt:i4>
      </vt:variant>
      <vt:variant>
        <vt:i4>15</vt:i4>
      </vt:variant>
      <vt:variant>
        <vt:i4>0</vt:i4>
      </vt:variant>
      <vt:variant>
        <vt:i4>5</vt:i4>
      </vt:variant>
      <vt:variant>
        <vt:lpwstr>http://www.hrc.co.nz/hrc_new/hrc/cms/files/documents/24-Nov-2009_16-20-38_RacialHarassment-web.pdf</vt:lpwstr>
      </vt:variant>
      <vt:variant>
        <vt:lpwstr/>
      </vt:variant>
      <vt:variant>
        <vt:i4>1572947</vt:i4>
      </vt:variant>
      <vt:variant>
        <vt:i4>12</vt:i4>
      </vt:variant>
      <vt:variant>
        <vt:i4>0</vt:i4>
      </vt:variant>
      <vt:variant>
        <vt:i4>5</vt:i4>
      </vt:variant>
      <vt:variant>
        <vt:lpwstr>http://www.eeotrust.org.nz/content/docs/toolkits/2014/Disability in the workplace.pdf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http://www.eeotrust.org.nz/content/docs/toolkits/2014/Engage all Ages at Work.pdf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http://www.hrc.co.nz/2012/01/30/getting-more-women-into-business-the-women%E2%80%99s-empowerment-principles/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http://www.dol.govt.nz/er/bestpractice/worklife/</vt:lpwstr>
      </vt:variant>
      <vt:variant>
        <vt:lpwstr/>
      </vt:variant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http://www.hrc.co.nz/hrc_new/hrc/cms/files/documents/14-Dec-2005_16-09-38_breastfeeding_flyer_English.pdf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Elliot Farr</cp:lastModifiedBy>
  <cp:revision>2</cp:revision>
  <dcterms:created xsi:type="dcterms:W3CDTF">2020-12-10T00:47:00Z</dcterms:created>
  <dcterms:modified xsi:type="dcterms:W3CDTF">2020-12-10T00:47:00Z</dcterms:modified>
</cp:coreProperties>
</file>