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162B" w14:textId="4B2D8C8F" w:rsidR="00E55195" w:rsidRPr="00D40F6D" w:rsidRDefault="00E55195" w:rsidP="00695DD1">
      <w:pPr>
        <w:widowControl w:val="0"/>
        <w:spacing w:after="120"/>
        <w:rPr>
          <w:b/>
          <w:sz w:val="28"/>
          <w:szCs w:val="28"/>
          <w:lang w:val="en-US"/>
        </w:rPr>
      </w:pPr>
    </w:p>
    <w:p w14:paraId="2D2AD157" w14:textId="174A346D" w:rsidR="00F34A73" w:rsidRDefault="00F34A73" w:rsidP="00F34A73">
      <w:pPr>
        <w:widowControl w:val="0"/>
        <w:spacing w:after="120"/>
        <w:jc w:val="center"/>
        <w:rPr>
          <w:b/>
          <w:sz w:val="28"/>
          <w:szCs w:val="28"/>
          <w:lang w:val="en-US"/>
        </w:rPr>
      </w:pPr>
    </w:p>
    <w:p w14:paraId="4C7D221F" w14:textId="77777777" w:rsidR="00F34A73" w:rsidRDefault="00F34A73" w:rsidP="00F34A73">
      <w:pPr>
        <w:widowControl w:val="0"/>
        <w:spacing w:after="120"/>
        <w:jc w:val="center"/>
        <w:rPr>
          <w:b/>
          <w:sz w:val="28"/>
          <w:szCs w:val="28"/>
          <w:lang w:val="en-US"/>
        </w:rPr>
      </w:pPr>
    </w:p>
    <w:p w14:paraId="4DF6E2DA" w14:textId="77777777" w:rsidR="00EB4C07" w:rsidRPr="00CB1ECA" w:rsidRDefault="00F34A73" w:rsidP="00F34A73">
      <w:pPr>
        <w:widowControl w:val="0"/>
        <w:spacing w:after="120" w:line="480" w:lineRule="auto"/>
        <w:jc w:val="center"/>
        <w:rPr>
          <w:b/>
          <w:color w:val="B23B0F"/>
          <w:sz w:val="32"/>
          <w:szCs w:val="32"/>
          <w:lang w:val="en-US"/>
        </w:rPr>
      </w:pPr>
      <w:r w:rsidRPr="00CB1ECA">
        <w:rPr>
          <w:b/>
          <w:color w:val="B23B0F"/>
          <w:sz w:val="32"/>
          <w:szCs w:val="32"/>
          <w:lang w:val="en-US"/>
        </w:rPr>
        <w:t xml:space="preserve">EMPOWERING AUCKLAND’S SECTOR OF CREATIVE SPACES </w:t>
      </w:r>
    </w:p>
    <w:p w14:paraId="7792E96F" w14:textId="297A2554" w:rsidR="00F34A73" w:rsidRPr="00CB1ECA" w:rsidRDefault="00F34A73" w:rsidP="00F34A73">
      <w:pPr>
        <w:widowControl w:val="0"/>
        <w:spacing w:after="120" w:line="480" w:lineRule="auto"/>
        <w:jc w:val="center"/>
        <w:rPr>
          <w:b/>
          <w:color w:val="B23B0F"/>
          <w:sz w:val="32"/>
          <w:szCs w:val="32"/>
          <w:lang w:val="en-US"/>
        </w:rPr>
      </w:pPr>
      <w:r w:rsidRPr="00CB1ECA">
        <w:rPr>
          <w:b/>
          <w:color w:val="B23B0F"/>
          <w:sz w:val="32"/>
          <w:szCs w:val="32"/>
          <w:lang w:val="en-US"/>
        </w:rPr>
        <w:t>&amp; ARTS PROGRAMMES</w:t>
      </w:r>
    </w:p>
    <w:p w14:paraId="06C56075" w14:textId="77777777" w:rsidR="00F34A73" w:rsidRPr="00CB1ECA" w:rsidRDefault="00F34A73" w:rsidP="00F34A73">
      <w:pPr>
        <w:widowControl w:val="0"/>
        <w:spacing w:after="120" w:line="480" w:lineRule="auto"/>
        <w:jc w:val="center"/>
        <w:rPr>
          <w:b/>
          <w:color w:val="B23B0F"/>
          <w:sz w:val="32"/>
          <w:szCs w:val="32"/>
          <w:lang w:val="en-US"/>
        </w:rPr>
      </w:pPr>
      <w:r w:rsidRPr="00CB1ECA">
        <w:rPr>
          <w:b/>
          <w:color w:val="B23B0F"/>
          <w:sz w:val="32"/>
          <w:szCs w:val="32"/>
          <w:lang w:val="en-US"/>
        </w:rPr>
        <w:t xml:space="preserve">STRATEGIC PLAN </w:t>
      </w:r>
    </w:p>
    <w:p w14:paraId="5D12154F" w14:textId="7DB1AF2D" w:rsidR="00EB4C07" w:rsidRDefault="00F34A73" w:rsidP="00EB4C07">
      <w:pPr>
        <w:widowControl w:val="0"/>
        <w:spacing w:after="120" w:line="480" w:lineRule="auto"/>
        <w:jc w:val="center"/>
        <w:rPr>
          <w:b/>
          <w:color w:val="B23B0F"/>
          <w:sz w:val="32"/>
          <w:szCs w:val="32"/>
          <w:lang w:val="en-US"/>
        </w:rPr>
      </w:pPr>
      <w:r w:rsidRPr="00CB1ECA">
        <w:rPr>
          <w:b/>
          <w:color w:val="B23B0F"/>
          <w:sz w:val="32"/>
          <w:szCs w:val="32"/>
          <w:lang w:val="en-US"/>
        </w:rPr>
        <w:t>2021-2023</w:t>
      </w:r>
    </w:p>
    <w:p w14:paraId="249A55D3" w14:textId="4FDB3886" w:rsidR="00566795" w:rsidRDefault="00566795" w:rsidP="00EB4C07">
      <w:pPr>
        <w:widowControl w:val="0"/>
        <w:spacing w:after="120" w:line="480" w:lineRule="auto"/>
        <w:jc w:val="center"/>
        <w:rPr>
          <w:b/>
          <w:color w:val="B23B0F"/>
          <w:sz w:val="32"/>
          <w:szCs w:val="32"/>
          <w:lang w:val="en-US"/>
        </w:rPr>
      </w:pPr>
    </w:p>
    <w:p w14:paraId="2814415A" w14:textId="2C1BD6EA" w:rsidR="00566795" w:rsidRDefault="00566795" w:rsidP="00EB4C07">
      <w:pPr>
        <w:widowControl w:val="0"/>
        <w:spacing w:after="120" w:line="480" w:lineRule="auto"/>
        <w:jc w:val="center"/>
        <w:rPr>
          <w:b/>
          <w:color w:val="B23B0F"/>
          <w:sz w:val="32"/>
          <w:szCs w:val="32"/>
          <w:lang w:val="en-US"/>
        </w:rPr>
      </w:pPr>
    </w:p>
    <w:p w14:paraId="431091D8" w14:textId="77777777" w:rsidR="00566795" w:rsidRPr="00CB1ECA" w:rsidRDefault="00566795" w:rsidP="00EB4C07">
      <w:pPr>
        <w:widowControl w:val="0"/>
        <w:spacing w:after="120" w:line="480" w:lineRule="auto"/>
        <w:jc w:val="center"/>
        <w:rPr>
          <w:b/>
          <w:color w:val="B23B0F"/>
          <w:sz w:val="32"/>
          <w:szCs w:val="32"/>
          <w:lang w:val="en-US"/>
        </w:rPr>
      </w:pPr>
    </w:p>
    <w:p w14:paraId="19C8695E" w14:textId="08A7A74C" w:rsidR="00F34A73" w:rsidRPr="00CB1ECA" w:rsidRDefault="00D7126B" w:rsidP="00EB4C07">
      <w:pPr>
        <w:widowControl w:val="0"/>
        <w:spacing w:after="120" w:line="480" w:lineRule="auto"/>
        <w:jc w:val="center"/>
        <w:rPr>
          <w:b/>
          <w:color w:val="B23B0F"/>
          <w:sz w:val="32"/>
          <w:szCs w:val="32"/>
          <w:lang w:val="en-US"/>
        </w:rPr>
      </w:pPr>
      <w:r w:rsidRPr="00CB1ECA">
        <w:rPr>
          <w:b/>
          <w:bCs/>
          <w:sz w:val="32"/>
          <w:szCs w:val="32"/>
          <w:lang w:val="en-US"/>
        </w:rPr>
        <w:t>12 November</w:t>
      </w:r>
      <w:r w:rsidR="00F34A73" w:rsidRPr="00CB1ECA">
        <w:rPr>
          <w:b/>
          <w:bCs/>
          <w:sz w:val="32"/>
          <w:szCs w:val="32"/>
          <w:lang w:val="en-US"/>
        </w:rPr>
        <w:t xml:space="preserve"> 2020</w:t>
      </w:r>
    </w:p>
    <w:p w14:paraId="387F03AE" w14:textId="77777777" w:rsidR="00F34A73" w:rsidRDefault="00F34A73" w:rsidP="00F34A73">
      <w:pPr>
        <w:widowControl w:val="0"/>
        <w:spacing w:after="120"/>
        <w:jc w:val="center"/>
        <w:rPr>
          <w:b/>
          <w:bCs/>
          <w:lang w:val="en-US"/>
        </w:rPr>
      </w:pPr>
    </w:p>
    <w:p w14:paraId="7BBCFD74" w14:textId="77777777" w:rsidR="00F34A73" w:rsidRDefault="00F34A73" w:rsidP="00F34A73">
      <w:pPr>
        <w:widowControl w:val="0"/>
        <w:spacing w:after="120"/>
        <w:jc w:val="center"/>
        <w:rPr>
          <w:b/>
          <w:bCs/>
          <w:lang w:val="en-US"/>
        </w:rPr>
      </w:pPr>
    </w:p>
    <w:p w14:paraId="1C5443C7" w14:textId="77777777" w:rsidR="00F34A73" w:rsidRDefault="00F34A73" w:rsidP="00F34A73">
      <w:pPr>
        <w:widowControl w:val="0"/>
        <w:spacing w:after="120"/>
        <w:jc w:val="center"/>
        <w:rPr>
          <w:b/>
          <w:bCs/>
          <w:lang w:val="en-US"/>
        </w:rPr>
      </w:pPr>
    </w:p>
    <w:p w14:paraId="67B8EDDA" w14:textId="77777777" w:rsidR="00F34A73" w:rsidRDefault="00F34A73" w:rsidP="00F34A73">
      <w:pPr>
        <w:widowControl w:val="0"/>
        <w:spacing w:after="120"/>
        <w:rPr>
          <w:b/>
          <w:bCs/>
          <w:lang w:val="en-US"/>
        </w:rPr>
      </w:pPr>
    </w:p>
    <w:p w14:paraId="3C89A5C1" w14:textId="4D573B38" w:rsidR="00F34A73" w:rsidRDefault="00F34A73" w:rsidP="00F34A73">
      <w:pPr>
        <w:widowControl w:val="0"/>
        <w:spacing w:after="120"/>
        <w:rPr>
          <w:b/>
          <w:bCs/>
          <w:lang w:val="en-US"/>
        </w:rPr>
      </w:pPr>
    </w:p>
    <w:p w14:paraId="07A8A3A0" w14:textId="2321AEAA" w:rsidR="00F34A73" w:rsidRDefault="00EF59A9" w:rsidP="00F34A73">
      <w:pPr>
        <w:widowControl w:val="0"/>
        <w:spacing w:after="120"/>
        <w:jc w:val="right"/>
        <w:rPr>
          <w:b/>
          <w:bCs/>
          <w:lang w:val="en-US"/>
        </w:rPr>
      </w:pPr>
      <w:r>
        <w:rPr>
          <w:noProof/>
        </w:rPr>
        <w:drawing>
          <wp:anchor distT="0" distB="0" distL="114300" distR="114300" simplePos="0" relativeHeight="251658244" behindDoc="0" locked="0" layoutInCell="1" allowOverlap="1" wp14:anchorId="20A0D52D" wp14:editId="157795D2">
            <wp:simplePos x="0" y="0"/>
            <wp:positionH relativeFrom="margin">
              <wp:posOffset>4196080</wp:posOffset>
            </wp:positionH>
            <wp:positionV relativeFrom="margin">
              <wp:posOffset>7021195</wp:posOffset>
            </wp:positionV>
            <wp:extent cx="1955800" cy="762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lang w:eastAsia="en-NZ"/>
        </w:rPr>
        <w:drawing>
          <wp:anchor distT="0" distB="0" distL="114300" distR="114300" simplePos="0" relativeHeight="251658245" behindDoc="0" locked="0" layoutInCell="1" allowOverlap="1" wp14:anchorId="1C90230C" wp14:editId="3AC00706">
            <wp:simplePos x="0" y="0"/>
            <wp:positionH relativeFrom="margin">
              <wp:align>left</wp:align>
            </wp:positionH>
            <wp:positionV relativeFrom="margin">
              <wp:posOffset>7170420</wp:posOffset>
            </wp:positionV>
            <wp:extent cx="1851660" cy="504825"/>
            <wp:effectExtent l="0" t="0" r="0" b="0"/>
            <wp:wrapSquare wrapText="bothSides"/>
            <wp:docPr id="12" name="Picture 12" descr="C:\Users\ANGELA~1\AppData\Local\Temp\Logo fo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1\AppData\Local\Temp\Logo for Letterhe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0887" cy="50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9E1AD" w14:textId="6FC7B6EA" w:rsidR="00F34A73" w:rsidRPr="003A319D" w:rsidRDefault="00EF59A9" w:rsidP="00F34A73">
      <w:pPr>
        <w:widowControl w:val="0"/>
        <w:spacing w:after="120" w:line="480" w:lineRule="auto"/>
        <w:rPr>
          <w:b/>
          <w:color w:val="538135" w:themeColor="accent6" w:themeShade="BF"/>
          <w:sz w:val="52"/>
          <w:szCs w:val="52"/>
          <w:lang w:val="en-US"/>
        </w:rPr>
      </w:pPr>
      <w:r>
        <w:rPr>
          <w:b/>
          <w:color w:val="538135" w:themeColor="accent6" w:themeShade="BF"/>
          <w:sz w:val="52"/>
          <w:szCs w:val="52"/>
          <w:lang w:val="en-US"/>
        </w:rPr>
        <w:t xml:space="preserve">  </w:t>
      </w:r>
      <w:r>
        <w:rPr>
          <w:b/>
          <w:noProof/>
          <w:color w:val="538135" w:themeColor="accent6" w:themeShade="BF"/>
          <w:sz w:val="52"/>
          <w:szCs w:val="52"/>
          <w:lang w:val="en-US"/>
        </w:rPr>
        <w:drawing>
          <wp:inline distT="0" distB="0" distL="0" distR="0" wp14:anchorId="44A6AF22" wp14:editId="7FB45886">
            <wp:extent cx="1781175" cy="428859"/>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8687" cy="433075"/>
                    </a:xfrm>
                    <a:prstGeom prst="rect">
                      <a:avLst/>
                    </a:prstGeom>
                  </pic:spPr>
                </pic:pic>
              </a:graphicData>
            </a:graphic>
          </wp:inline>
        </w:drawing>
      </w:r>
    </w:p>
    <w:p w14:paraId="09739EAA" w14:textId="77777777" w:rsidR="00F34A73" w:rsidRDefault="00F34A73" w:rsidP="00F34A73">
      <w:pPr>
        <w:pStyle w:val="Heading1"/>
        <w:keepNext w:val="0"/>
        <w:keepLines w:val="0"/>
        <w:widowControl w:val="0"/>
        <w:spacing w:before="120" w:after="120" w:line="276" w:lineRule="auto"/>
        <w:rPr>
          <w:rFonts w:ascii="Century Gothic" w:hAnsi="Century Gothic"/>
          <w:lang w:val="en-US"/>
        </w:rPr>
      </w:pPr>
    </w:p>
    <w:p w14:paraId="4D17AA92" w14:textId="77777777" w:rsidR="00F34A73" w:rsidRPr="00F34D21" w:rsidRDefault="00F34A73" w:rsidP="00F34D21">
      <w:pPr>
        <w:spacing w:after="160" w:line="259" w:lineRule="auto"/>
        <w:rPr>
          <w:rFonts w:eastAsiaTheme="majorEastAsia" w:cstheme="majorBidi"/>
          <w:b/>
          <w:bCs/>
          <w:color w:val="2E74B5" w:themeColor="accent1" w:themeShade="BF"/>
          <w:sz w:val="28"/>
          <w:szCs w:val="28"/>
          <w:lang w:val="en-US"/>
        </w:rPr>
      </w:pPr>
    </w:p>
    <w:sdt>
      <w:sdtPr>
        <w:rPr>
          <w:rFonts w:asciiTheme="minorHAnsi" w:eastAsiaTheme="minorHAnsi" w:hAnsiTheme="minorHAnsi" w:cstheme="minorBidi"/>
          <w:b w:val="0"/>
          <w:bCs w:val="0"/>
          <w:color w:val="auto"/>
          <w:sz w:val="32"/>
          <w:szCs w:val="32"/>
          <w:lang w:val="en-NZ" w:eastAsia="en-US"/>
        </w:rPr>
        <w:id w:val="275759164"/>
        <w:docPartObj>
          <w:docPartGallery w:val="Table of Contents"/>
          <w:docPartUnique/>
        </w:docPartObj>
      </w:sdtPr>
      <w:sdtEndPr>
        <w:rPr>
          <w:rFonts w:ascii="Century Gothic" w:hAnsi="Century Gothic"/>
          <w:noProof/>
          <w:sz w:val="22"/>
          <w:szCs w:val="22"/>
        </w:rPr>
      </w:sdtEndPr>
      <w:sdtContent>
        <w:p w14:paraId="1FF780ED" w14:textId="77777777" w:rsidR="00F34A73" w:rsidRPr="00EC3C40" w:rsidRDefault="00F34A73" w:rsidP="00F34A73">
          <w:pPr>
            <w:pStyle w:val="TOCHeading"/>
            <w:keepNext w:val="0"/>
            <w:keepLines w:val="0"/>
            <w:widowControl w:val="0"/>
            <w:spacing w:before="240" w:after="240"/>
            <w:rPr>
              <w:rFonts w:ascii="Century Gothic" w:hAnsi="Century Gothic"/>
              <w:color w:val="B23B0F"/>
              <w:sz w:val="32"/>
              <w:szCs w:val="32"/>
            </w:rPr>
          </w:pPr>
          <w:r w:rsidRPr="00EC3C40">
            <w:rPr>
              <w:rFonts w:ascii="Century Gothic" w:hAnsi="Century Gothic"/>
              <w:color w:val="B23B0F"/>
              <w:sz w:val="32"/>
              <w:szCs w:val="32"/>
            </w:rPr>
            <w:t>Contents</w:t>
          </w:r>
        </w:p>
        <w:p w14:paraId="30542C38" w14:textId="7F013620" w:rsidR="00793D82" w:rsidRDefault="00F34A73">
          <w:pPr>
            <w:pStyle w:val="TOC1"/>
            <w:rPr>
              <w:rFonts w:asciiTheme="minorHAnsi" w:eastAsiaTheme="minorEastAsia" w:hAnsiTheme="minorHAnsi"/>
              <w:lang w:val="en-NZ" w:eastAsia="en-NZ"/>
            </w:rPr>
          </w:pPr>
          <w:r>
            <w:rPr>
              <w:noProof w:val="0"/>
            </w:rPr>
            <w:fldChar w:fldCharType="begin"/>
          </w:r>
          <w:r>
            <w:instrText xml:space="preserve"> TOC \o "1-3" \h \z \u </w:instrText>
          </w:r>
          <w:r>
            <w:rPr>
              <w:noProof w:val="0"/>
            </w:rPr>
            <w:fldChar w:fldCharType="separate"/>
          </w:r>
          <w:hyperlink w:anchor="_Toc54870894" w:history="1">
            <w:r w:rsidR="00793D82" w:rsidRPr="00A25851">
              <w:rPr>
                <w:rStyle w:val="Hyperlink"/>
              </w:rPr>
              <w:t>Purpose</w:t>
            </w:r>
            <w:r w:rsidR="00793D82">
              <w:rPr>
                <w:webHidden/>
              </w:rPr>
              <w:tab/>
            </w:r>
            <w:r w:rsidR="00793D82">
              <w:rPr>
                <w:webHidden/>
              </w:rPr>
              <w:fldChar w:fldCharType="begin"/>
            </w:r>
            <w:r w:rsidR="00793D82">
              <w:rPr>
                <w:webHidden/>
              </w:rPr>
              <w:instrText xml:space="preserve"> PAGEREF _Toc54870894 \h </w:instrText>
            </w:r>
            <w:r w:rsidR="00793D82">
              <w:rPr>
                <w:webHidden/>
              </w:rPr>
            </w:r>
            <w:r w:rsidR="00793D82">
              <w:rPr>
                <w:webHidden/>
              </w:rPr>
              <w:fldChar w:fldCharType="separate"/>
            </w:r>
            <w:r w:rsidR="000C7699">
              <w:rPr>
                <w:webHidden/>
              </w:rPr>
              <w:t>3</w:t>
            </w:r>
            <w:r w:rsidR="00793D82">
              <w:rPr>
                <w:webHidden/>
              </w:rPr>
              <w:fldChar w:fldCharType="end"/>
            </w:r>
          </w:hyperlink>
        </w:p>
        <w:p w14:paraId="2831232E" w14:textId="0B7DC1D2" w:rsidR="00793D82" w:rsidRDefault="00B276DE">
          <w:pPr>
            <w:pStyle w:val="TOC1"/>
            <w:rPr>
              <w:rFonts w:asciiTheme="minorHAnsi" w:eastAsiaTheme="minorEastAsia" w:hAnsiTheme="minorHAnsi"/>
              <w:lang w:val="en-NZ" w:eastAsia="en-NZ"/>
            </w:rPr>
          </w:pPr>
          <w:hyperlink w:anchor="_Toc54870895" w:history="1">
            <w:r w:rsidR="00793D82" w:rsidRPr="00A25851">
              <w:rPr>
                <w:rStyle w:val="Hyperlink"/>
              </w:rPr>
              <w:t>Vision and Values</w:t>
            </w:r>
            <w:r w:rsidR="00793D82">
              <w:rPr>
                <w:webHidden/>
              </w:rPr>
              <w:tab/>
            </w:r>
            <w:r w:rsidR="00793D82">
              <w:rPr>
                <w:webHidden/>
              </w:rPr>
              <w:fldChar w:fldCharType="begin"/>
            </w:r>
            <w:r w:rsidR="00793D82">
              <w:rPr>
                <w:webHidden/>
              </w:rPr>
              <w:instrText xml:space="preserve"> PAGEREF _Toc54870895 \h </w:instrText>
            </w:r>
            <w:r w:rsidR="00793D82">
              <w:rPr>
                <w:webHidden/>
              </w:rPr>
            </w:r>
            <w:r w:rsidR="00793D82">
              <w:rPr>
                <w:webHidden/>
              </w:rPr>
              <w:fldChar w:fldCharType="separate"/>
            </w:r>
            <w:r w:rsidR="000C7699">
              <w:rPr>
                <w:webHidden/>
              </w:rPr>
              <w:t>3</w:t>
            </w:r>
            <w:r w:rsidR="00793D82">
              <w:rPr>
                <w:webHidden/>
              </w:rPr>
              <w:fldChar w:fldCharType="end"/>
            </w:r>
          </w:hyperlink>
        </w:p>
        <w:p w14:paraId="001F7674" w14:textId="0E3D4271" w:rsidR="00793D82" w:rsidRDefault="00B276DE">
          <w:pPr>
            <w:pStyle w:val="TOC1"/>
            <w:rPr>
              <w:rFonts w:asciiTheme="minorHAnsi" w:eastAsiaTheme="minorEastAsia" w:hAnsiTheme="minorHAnsi"/>
              <w:lang w:val="en-NZ" w:eastAsia="en-NZ"/>
            </w:rPr>
          </w:pPr>
          <w:hyperlink w:anchor="_Toc54870896" w:history="1">
            <w:r w:rsidR="00793D82" w:rsidRPr="00A25851">
              <w:rPr>
                <w:rStyle w:val="Hyperlink"/>
              </w:rPr>
              <w:t>Background</w:t>
            </w:r>
            <w:r w:rsidR="00793D82">
              <w:rPr>
                <w:webHidden/>
              </w:rPr>
              <w:tab/>
            </w:r>
            <w:r w:rsidR="00793D82">
              <w:rPr>
                <w:webHidden/>
              </w:rPr>
              <w:fldChar w:fldCharType="begin"/>
            </w:r>
            <w:r w:rsidR="00793D82">
              <w:rPr>
                <w:webHidden/>
              </w:rPr>
              <w:instrText xml:space="preserve"> PAGEREF _Toc54870896 \h </w:instrText>
            </w:r>
            <w:r w:rsidR="00793D82">
              <w:rPr>
                <w:webHidden/>
              </w:rPr>
            </w:r>
            <w:r w:rsidR="00793D82">
              <w:rPr>
                <w:webHidden/>
              </w:rPr>
              <w:fldChar w:fldCharType="separate"/>
            </w:r>
            <w:r w:rsidR="000C7699">
              <w:rPr>
                <w:webHidden/>
              </w:rPr>
              <w:t>3</w:t>
            </w:r>
            <w:r w:rsidR="00793D82">
              <w:rPr>
                <w:webHidden/>
              </w:rPr>
              <w:fldChar w:fldCharType="end"/>
            </w:r>
          </w:hyperlink>
        </w:p>
        <w:p w14:paraId="520FF258" w14:textId="3A786263" w:rsidR="00793D82" w:rsidRDefault="00B276DE">
          <w:pPr>
            <w:pStyle w:val="TOC1"/>
            <w:rPr>
              <w:rFonts w:asciiTheme="minorHAnsi" w:eastAsiaTheme="minorEastAsia" w:hAnsiTheme="minorHAnsi"/>
              <w:lang w:val="en-NZ" w:eastAsia="en-NZ"/>
            </w:rPr>
          </w:pPr>
          <w:hyperlink w:anchor="_Toc54870897" w:history="1">
            <w:r w:rsidR="00793D82" w:rsidRPr="00A25851">
              <w:rPr>
                <w:rStyle w:val="Hyperlink"/>
              </w:rPr>
              <w:t>Needs and opportunities for Auckland’s creative spaces</w:t>
            </w:r>
            <w:r w:rsidR="00793D82">
              <w:rPr>
                <w:webHidden/>
              </w:rPr>
              <w:tab/>
            </w:r>
            <w:r w:rsidR="00793D82">
              <w:rPr>
                <w:webHidden/>
              </w:rPr>
              <w:fldChar w:fldCharType="begin"/>
            </w:r>
            <w:r w:rsidR="00793D82">
              <w:rPr>
                <w:webHidden/>
              </w:rPr>
              <w:instrText xml:space="preserve"> PAGEREF _Toc54870897 \h </w:instrText>
            </w:r>
            <w:r w:rsidR="00793D82">
              <w:rPr>
                <w:webHidden/>
              </w:rPr>
            </w:r>
            <w:r w:rsidR="00793D82">
              <w:rPr>
                <w:webHidden/>
              </w:rPr>
              <w:fldChar w:fldCharType="separate"/>
            </w:r>
            <w:r w:rsidR="000C7699">
              <w:rPr>
                <w:webHidden/>
              </w:rPr>
              <w:t>9</w:t>
            </w:r>
            <w:r w:rsidR="00793D82">
              <w:rPr>
                <w:webHidden/>
              </w:rPr>
              <w:fldChar w:fldCharType="end"/>
            </w:r>
          </w:hyperlink>
        </w:p>
        <w:p w14:paraId="48D0E845" w14:textId="7CCE593B" w:rsidR="00793D82" w:rsidRDefault="00B276DE">
          <w:pPr>
            <w:pStyle w:val="TOC1"/>
            <w:rPr>
              <w:rFonts w:asciiTheme="minorHAnsi" w:eastAsiaTheme="minorEastAsia" w:hAnsiTheme="minorHAnsi"/>
              <w:lang w:val="en-NZ" w:eastAsia="en-NZ"/>
            </w:rPr>
          </w:pPr>
          <w:hyperlink w:anchor="_Toc54870898" w:history="1">
            <w:r w:rsidR="00793D82" w:rsidRPr="00A25851">
              <w:rPr>
                <w:rStyle w:val="Hyperlink"/>
              </w:rPr>
              <w:t>Strategic priorities</w:t>
            </w:r>
            <w:r w:rsidR="00793D82">
              <w:rPr>
                <w:webHidden/>
              </w:rPr>
              <w:tab/>
            </w:r>
            <w:r w:rsidR="00793D82">
              <w:rPr>
                <w:webHidden/>
              </w:rPr>
              <w:fldChar w:fldCharType="begin"/>
            </w:r>
            <w:r w:rsidR="00793D82">
              <w:rPr>
                <w:webHidden/>
              </w:rPr>
              <w:instrText xml:space="preserve"> PAGEREF _Toc54870898 \h </w:instrText>
            </w:r>
            <w:r w:rsidR="00793D82">
              <w:rPr>
                <w:webHidden/>
              </w:rPr>
            </w:r>
            <w:r w:rsidR="00793D82">
              <w:rPr>
                <w:webHidden/>
              </w:rPr>
              <w:fldChar w:fldCharType="separate"/>
            </w:r>
            <w:r w:rsidR="000C7699">
              <w:rPr>
                <w:webHidden/>
              </w:rPr>
              <w:t>12</w:t>
            </w:r>
            <w:r w:rsidR="00793D82">
              <w:rPr>
                <w:webHidden/>
              </w:rPr>
              <w:fldChar w:fldCharType="end"/>
            </w:r>
          </w:hyperlink>
        </w:p>
        <w:p w14:paraId="116B802D" w14:textId="1757C0A8" w:rsidR="00793D82" w:rsidRDefault="00B276DE">
          <w:pPr>
            <w:pStyle w:val="TOC1"/>
            <w:rPr>
              <w:rFonts w:asciiTheme="minorHAnsi" w:eastAsiaTheme="minorEastAsia" w:hAnsiTheme="minorHAnsi"/>
              <w:lang w:val="en-NZ" w:eastAsia="en-NZ"/>
            </w:rPr>
          </w:pPr>
          <w:hyperlink w:anchor="_Toc54870899" w:history="1">
            <w:r w:rsidR="00793D82" w:rsidRPr="00A25851">
              <w:rPr>
                <w:rStyle w:val="Hyperlink"/>
              </w:rPr>
              <w:t>Ways in which the sector can respond</w:t>
            </w:r>
            <w:r w:rsidR="00793D82">
              <w:rPr>
                <w:webHidden/>
              </w:rPr>
              <w:tab/>
            </w:r>
            <w:r w:rsidR="00793D82">
              <w:rPr>
                <w:webHidden/>
              </w:rPr>
              <w:fldChar w:fldCharType="begin"/>
            </w:r>
            <w:r w:rsidR="00793D82">
              <w:rPr>
                <w:webHidden/>
              </w:rPr>
              <w:instrText xml:space="preserve"> PAGEREF _Toc54870899 \h </w:instrText>
            </w:r>
            <w:r w:rsidR="00793D82">
              <w:rPr>
                <w:webHidden/>
              </w:rPr>
            </w:r>
            <w:r w:rsidR="00793D82">
              <w:rPr>
                <w:webHidden/>
              </w:rPr>
              <w:fldChar w:fldCharType="separate"/>
            </w:r>
            <w:r w:rsidR="000C7699">
              <w:rPr>
                <w:webHidden/>
              </w:rPr>
              <w:t>12</w:t>
            </w:r>
            <w:r w:rsidR="00793D82">
              <w:rPr>
                <w:webHidden/>
              </w:rPr>
              <w:fldChar w:fldCharType="end"/>
            </w:r>
          </w:hyperlink>
        </w:p>
        <w:p w14:paraId="64210168" w14:textId="344720C1" w:rsidR="00793D82" w:rsidRDefault="00B276DE">
          <w:pPr>
            <w:pStyle w:val="TOC1"/>
            <w:rPr>
              <w:rFonts w:asciiTheme="minorHAnsi" w:eastAsiaTheme="minorEastAsia" w:hAnsiTheme="minorHAnsi"/>
              <w:lang w:val="en-NZ" w:eastAsia="en-NZ"/>
            </w:rPr>
          </w:pPr>
          <w:hyperlink w:anchor="_Toc54870900" w:history="1">
            <w:r w:rsidR="00793D82" w:rsidRPr="00A25851">
              <w:rPr>
                <w:rStyle w:val="Hyperlink"/>
              </w:rPr>
              <w:t>Appendix 1: Summary of vision, purpose and values of organisations supporting this Strategic Plan</w:t>
            </w:r>
            <w:r w:rsidR="00793D82">
              <w:rPr>
                <w:webHidden/>
              </w:rPr>
              <w:tab/>
            </w:r>
            <w:r w:rsidR="00793D82">
              <w:rPr>
                <w:webHidden/>
              </w:rPr>
              <w:fldChar w:fldCharType="begin"/>
            </w:r>
            <w:r w:rsidR="00793D82">
              <w:rPr>
                <w:webHidden/>
              </w:rPr>
              <w:instrText xml:space="preserve"> PAGEREF _Toc54870900 \h </w:instrText>
            </w:r>
            <w:r w:rsidR="00793D82">
              <w:rPr>
                <w:webHidden/>
              </w:rPr>
            </w:r>
            <w:r w:rsidR="00793D82">
              <w:rPr>
                <w:webHidden/>
              </w:rPr>
              <w:fldChar w:fldCharType="separate"/>
            </w:r>
            <w:r w:rsidR="000C7699">
              <w:rPr>
                <w:webHidden/>
              </w:rPr>
              <w:t>16</w:t>
            </w:r>
            <w:r w:rsidR="00793D82">
              <w:rPr>
                <w:webHidden/>
              </w:rPr>
              <w:fldChar w:fldCharType="end"/>
            </w:r>
          </w:hyperlink>
        </w:p>
        <w:p w14:paraId="128F964C" w14:textId="613FE26C" w:rsidR="00F34A73" w:rsidRDefault="00F34A73" w:rsidP="00F34A73">
          <w:pPr>
            <w:widowControl w:val="0"/>
          </w:pPr>
          <w:r>
            <w:rPr>
              <w:b/>
              <w:bCs/>
              <w:noProof/>
            </w:rPr>
            <w:fldChar w:fldCharType="end"/>
          </w:r>
        </w:p>
      </w:sdtContent>
    </w:sdt>
    <w:p w14:paraId="298596E3" w14:textId="77777777" w:rsidR="00F34A73" w:rsidRPr="00AB3D0B" w:rsidRDefault="00F34A73" w:rsidP="00F34A73">
      <w:pPr>
        <w:widowControl w:val="0"/>
        <w:spacing w:after="120"/>
        <w:rPr>
          <w:lang w:val="en-US"/>
        </w:rPr>
      </w:pPr>
    </w:p>
    <w:p w14:paraId="04FA3B90" w14:textId="77777777" w:rsidR="00F34A73" w:rsidRPr="0021290F" w:rsidRDefault="00F34A73" w:rsidP="00F34A73">
      <w:pPr>
        <w:pStyle w:val="Heading1"/>
        <w:keepNext w:val="0"/>
        <w:keepLines w:val="0"/>
        <w:widowControl w:val="0"/>
        <w:pBdr>
          <w:bottom w:val="single" w:sz="4" w:space="1" w:color="auto"/>
        </w:pBdr>
        <w:spacing w:before="120" w:after="120" w:line="276" w:lineRule="auto"/>
        <w:rPr>
          <w:rFonts w:ascii="Century Gothic" w:hAnsi="Century Gothic"/>
          <w:color w:val="C45911" w:themeColor="accent2" w:themeShade="BF"/>
          <w:sz w:val="32"/>
          <w:szCs w:val="32"/>
          <w:lang w:val="en-US"/>
        </w:rPr>
      </w:pPr>
      <w:r>
        <w:rPr>
          <w:rFonts w:ascii="Century Gothic" w:hAnsi="Century Gothic"/>
          <w:lang w:val="en-US"/>
        </w:rPr>
        <w:br w:type="column"/>
      </w:r>
      <w:bookmarkStart w:id="0" w:name="_Toc54711595"/>
      <w:bookmarkStart w:id="1" w:name="_Toc54870894"/>
      <w:r w:rsidRPr="00EC3C40">
        <w:rPr>
          <w:rFonts w:ascii="Century Gothic" w:hAnsi="Century Gothic"/>
          <w:color w:val="B23B0F"/>
          <w:sz w:val="32"/>
          <w:szCs w:val="32"/>
          <w:lang w:val="en-US"/>
        </w:rPr>
        <w:t>Purpose</w:t>
      </w:r>
      <w:bookmarkEnd w:id="0"/>
      <w:bookmarkEnd w:id="1"/>
      <w:r w:rsidRPr="00EC3C40">
        <w:rPr>
          <w:rFonts w:ascii="Century Gothic" w:hAnsi="Century Gothic"/>
          <w:color w:val="B23B0F"/>
          <w:sz w:val="32"/>
          <w:szCs w:val="32"/>
          <w:lang w:val="en-US"/>
        </w:rPr>
        <w:t xml:space="preserve"> </w:t>
      </w:r>
    </w:p>
    <w:p w14:paraId="0ECBC687" w14:textId="77777777" w:rsidR="00F34A73" w:rsidRDefault="00F34A73" w:rsidP="00F34A73">
      <w:pPr>
        <w:widowControl w:val="0"/>
        <w:spacing w:after="120"/>
        <w:rPr>
          <w:lang w:val="en-US"/>
        </w:rPr>
      </w:pPr>
      <w:r w:rsidRPr="00A55FAA">
        <w:rPr>
          <w:lang w:val="en-US"/>
        </w:rPr>
        <w:t>The Purpose of this Strategic Plan is</w:t>
      </w:r>
      <w:r>
        <w:rPr>
          <w:lang w:val="en-US"/>
        </w:rPr>
        <w:t xml:space="preserve"> to implement the vision of</w:t>
      </w:r>
      <w:r w:rsidRPr="00C8162B">
        <w:rPr>
          <w:lang w:val="en-US"/>
        </w:rPr>
        <w:t xml:space="preserve"> </w:t>
      </w:r>
      <w:r>
        <w:rPr>
          <w:lang w:val="en-US"/>
        </w:rPr>
        <w:t xml:space="preserve">a sustainable sector of </w:t>
      </w:r>
      <w:r w:rsidRPr="00C8162B">
        <w:rPr>
          <w:lang w:val="en-US"/>
        </w:rPr>
        <w:t>creative spaces</w:t>
      </w:r>
      <w:r>
        <w:rPr>
          <w:lang w:val="en-US"/>
        </w:rPr>
        <w:t xml:space="preserve"> and arts programmes in Auckland</w:t>
      </w:r>
      <w:r w:rsidRPr="00C8162B">
        <w:rPr>
          <w:lang w:val="en-US"/>
        </w:rPr>
        <w:t xml:space="preserve">, </w:t>
      </w:r>
      <w:r>
        <w:rPr>
          <w:lang w:val="en-US"/>
        </w:rPr>
        <w:t xml:space="preserve">thereby </w:t>
      </w:r>
      <w:r w:rsidRPr="00C8162B">
        <w:rPr>
          <w:lang w:val="en-US"/>
        </w:rPr>
        <w:t>empower</w:t>
      </w:r>
      <w:r>
        <w:rPr>
          <w:lang w:val="en-US"/>
        </w:rPr>
        <w:t>ing</w:t>
      </w:r>
      <w:r w:rsidRPr="00C8162B">
        <w:rPr>
          <w:lang w:val="en-US"/>
        </w:rPr>
        <w:t xml:space="preserve"> and deliver</w:t>
      </w:r>
      <w:r>
        <w:rPr>
          <w:lang w:val="en-US"/>
        </w:rPr>
        <w:t>ing</w:t>
      </w:r>
      <w:r w:rsidRPr="00C8162B">
        <w:rPr>
          <w:lang w:val="en-US"/>
        </w:rPr>
        <w:t xml:space="preserve"> </w:t>
      </w:r>
      <w:r>
        <w:rPr>
          <w:lang w:val="en-US"/>
        </w:rPr>
        <w:t xml:space="preserve">wellbeing to people who would otherwise be disempowered or disabled by society. </w:t>
      </w:r>
    </w:p>
    <w:p w14:paraId="3A8BD9E6" w14:textId="77777777" w:rsidR="00F34A73" w:rsidRDefault="00F34A73" w:rsidP="00F34A73">
      <w:pPr>
        <w:widowControl w:val="0"/>
        <w:spacing w:after="120"/>
        <w:rPr>
          <w:lang w:val="en-US"/>
        </w:rPr>
      </w:pPr>
      <w:r>
        <w:rPr>
          <w:lang w:val="en-US"/>
        </w:rPr>
        <w:t xml:space="preserve">This Strategic Plan outlines the goals for the next two years to achieve sustainability by improving the recognition, investment, voice, capability, and accessibility of the sector in Auckland. </w:t>
      </w:r>
    </w:p>
    <w:p w14:paraId="22331084" w14:textId="77777777" w:rsidR="00F34A73" w:rsidRDefault="00F34A73" w:rsidP="00F34A73">
      <w:pPr>
        <w:widowControl w:val="0"/>
        <w:spacing w:after="120"/>
        <w:rPr>
          <w:lang w:val="en-US"/>
        </w:rPr>
      </w:pPr>
      <w:r>
        <w:rPr>
          <w:lang w:val="en-US"/>
        </w:rPr>
        <w:t xml:space="preserve">The Plan also provides a work programme of actions and initiatives to help achieve those goals.  </w:t>
      </w:r>
    </w:p>
    <w:p w14:paraId="1C0D6821" w14:textId="77777777" w:rsidR="00F34A73" w:rsidRDefault="00F34A73" w:rsidP="00F34A73">
      <w:pPr>
        <w:widowControl w:val="0"/>
        <w:spacing w:after="120"/>
        <w:rPr>
          <w:lang w:val="en-US"/>
        </w:rPr>
      </w:pPr>
      <w:r>
        <w:rPr>
          <w:lang w:val="en-US"/>
        </w:rPr>
        <w:t xml:space="preserve">The creative spaces and art programmes consulted on this plan can be seen in the Creative Spaces Directory at </w:t>
      </w:r>
      <w:hyperlink r:id="rId14" w:history="1">
        <w:r w:rsidRPr="001E5569">
          <w:rPr>
            <w:rStyle w:val="Hyperlink"/>
            <w:lang w:val="en-US"/>
          </w:rPr>
          <w:t>https://artsaccess.org.nz/creative-spaces/creative-spaces-directory</w:t>
        </w:r>
      </w:hyperlink>
      <w:r>
        <w:rPr>
          <w:lang w:val="en-US"/>
        </w:rPr>
        <w:t xml:space="preserve">. This is not an exclusive list as the sector is dynamic and growing. </w:t>
      </w:r>
    </w:p>
    <w:p w14:paraId="49607B1A" w14:textId="77777777" w:rsidR="00F34A73" w:rsidRPr="00EC3C40" w:rsidRDefault="00F34A73" w:rsidP="00F34A73">
      <w:pPr>
        <w:pStyle w:val="Heading1"/>
        <w:keepNext w:val="0"/>
        <w:keepLines w:val="0"/>
        <w:widowControl w:val="0"/>
        <w:pBdr>
          <w:bottom w:val="single" w:sz="4" w:space="1" w:color="auto"/>
        </w:pBdr>
        <w:spacing w:before="120" w:after="120" w:line="276" w:lineRule="auto"/>
        <w:rPr>
          <w:rFonts w:ascii="Century Gothic" w:hAnsi="Century Gothic"/>
          <w:color w:val="B23B0F"/>
          <w:sz w:val="32"/>
          <w:szCs w:val="32"/>
          <w:lang w:val="en-US"/>
        </w:rPr>
      </w:pPr>
      <w:bookmarkStart w:id="2" w:name="_Toc54711596"/>
      <w:bookmarkStart w:id="3" w:name="_Toc54870895"/>
      <w:r w:rsidRPr="00EC3C40">
        <w:rPr>
          <w:rFonts w:ascii="Century Gothic" w:hAnsi="Century Gothic"/>
          <w:color w:val="B23B0F"/>
          <w:sz w:val="32"/>
          <w:szCs w:val="32"/>
          <w:lang w:val="en-US"/>
        </w:rPr>
        <w:t>Vision and Values</w:t>
      </w:r>
      <w:bookmarkEnd w:id="2"/>
      <w:bookmarkEnd w:id="3"/>
      <w:r w:rsidRPr="00EC3C40">
        <w:rPr>
          <w:rFonts w:ascii="Century Gothic" w:hAnsi="Century Gothic"/>
          <w:color w:val="B23B0F"/>
          <w:sz w:val="32"/>
          <w:szCs w:val="32"/>
          <w:lang w:val="en-US"/>
        </w:rPr>
        <w:t xml:space="preserve"> </w:t>
      </w:r>
    </w:p>
    <w:p w14:paraId="155F685E" w14:textId="66BF29BC" w:rsidR="00F34A73" w:rsidRDefault="00F34A73" w:rsidP="00F34A73">
      <w:pPr>
        <w:widowControl w:val="0"/>
        <w:spacing w:after="120"/>
        <w:rPr>
          <w:lang w:val="en-US"/>
        </w:rPr>
      </w:pPr>
      <w:r>
        <w:rPr>
          <w:lang w:val="en-US"/>
        </w:rPr>
        <w:t xml:space="preserve">The vision and values which shape this </w:t>
      </w:r>
      <w:r w:rsidRPr="00B51392">
        <w:rPr>
          <w:i/>
          <w:iCs/>
          <w:lang w:val="en-US"/>
        </w:rPr>
        <w:t>Strategic Plan to Empower Auckland’s Sector of Creatives Spaces and Arts Programmes</w:t>
      </w:r>
      <w:r>
        <w:rPr>
          <w:lang w:val="en-US"/>
        </w:rPr>
        <w:t xml:space="preserve"> are a</w:t>
      </w:r>
      <w:r w:rsidRPr="00014E63">
        <w:rPr>
          <w:lang w:val="en-US"/>
        </w:rPr>
        <w:t>lign</w:t>
      </w:r>
      <w:r>
        <w:rPr>
          <w:lang w:val="en-US"/>
        </w:rPr>
        <w:t>ed</w:t>
      </w:r>
      <w:r w:rsidRPr="00014E63">
        <w:rPr>
          <w:lang w:val="en-US"/>
        </w:rPr>
        <w:t xml:space="preserve"> with </w:t>
      </w:r>
      <w:r>
        <w:rPr>
          <w:lang w:val="en-US"/>
        </w:rPr>
        <w:t>those of Arts Access</w:t>
      </w:r>
      <w:r w:rsidR="00694FDB">
        <w:rPr>
          <w:lang w:val="en-US"/>
        </w:rPr>
        <w:t xml:space="preserve"> </w:t>
      </w:r>
      <w:r>
        <w:rPr>
          <w:lang w:val="en-US"/>
        </w:rPr>
        <w:t>Aotearoa. The</w:t>
      </w:r>
      <w:r w:rsidR="00694FDB">
        <w:rPr>
          <w:lang w:val="en-US"/>
        </w:rPr>
        <w:t>re are also synergies with the</w:t>
      </w:r>
      <w:r>
        <w:rPr>
          <w:lang w:val="en-US"/>
        </w:rPr>
        <w:t xml:space="preserve"> vision and values of Auckland Council </w:t>
      </w:r>
      <w:r w:rsidR="00694FDB">
        <w:rPr>
          <w:lang w:val="en-US"/>
        </w:rPr>
        <w:t>and Foundation North (Appendix 1 refers)</w:t>
      </w:r>
      <w:r>
        <w:rPr>
          <w:lang w:val="en-US"/>
        </w:rPr>
        <w:t xml:space="preserve">. </w:t>
      </w:r>
    </w:p>
    <w:p w14:paraId="0833A269" w14:textId="77777777" w:rsidR="00F34A73" w:rsidRPr="00EC3C40" w:rsidRDefault="00F34A73" w:rsidP="00F34A73">
      <w:pPr>
        <w:widowControl w:val="0"/>
        <w:spacing w:after="120"/>
        <w:rPr>
          <w:b/>
          <w:bCs/>
          <w:color w:val="B23B0F"/>
          <w:sz w:val="28"/>
          <w:szCs w:val="28"/>
          <w:lang w:val="en-US"/>
        </w:rPr>
      </w:pPr>
      <w:r w:rsidRPr="00EC3C40">
        <w:rPr>
          <w:b/>
          <w:bCs/>
          <w:color w:val="B23B0F"/>
          <w:sz w:val="28"/>
          <w:szCs w:val="28"/>
          <w:lang w:val="en-US"/>
        </w:rPr>
        <w:t xml:space="preserve">The Vision for this Strategic Plan is: </w:t>
      </w:r>
    </w:p>
    <w:p w14:paraId="3FEA5BD4" w14:textId="77777777" w:rsidR="00F34A73" w:rsidRDefault="00F34A73" w:rsidP="00F34A73">
      <w:pPr>
        <w:widowControl w:val="0"/>
        <w:spacing w:after="120"/>
        <w:rPr>
          <w:lang w:val="en-US"/>
        </w:rPr>
      </w:pPr>
      <w:r>
        <w:rPr>
          <w:lang w:val="en-US"/>
        </w:rPr>
        <w:t>T</w:t>
      </w:r>
      <w:r w:rsidRPr="00BE6A97">
        <w:rPr>
          <w:lang w:val="en-US"/>
        </w:rPr>
        <w:t xml:space="preserve">o </w:t>
      </w:r>
      <w:r>
        <w:rPr>
          <w:lang w:val="en-US"/>
        </w:rPr>
        <w:t xml:space="preserve">empower and </w:t>
      </w:r>
      <w:r w:rsidRPr="00BE6A97">
        <w:rPr>
          <w:lang w:val="en-US"/>
        </w:rPr>
        <w:t>s</w:t>
      </w:r>
      <w:r>
        <w:rPr>
          <w:lang w:val="en-US"/>
        </w:rPr>
        <w:t>upport the sustainability of Auckland’s sector of creative spaces and arts programmes.</w:t>
      </w:r>
    </w:p>
    <w:p w14:paraId="1CD1AB03" w14:textId="77777777" w:rsidR="00F34A73" w:rsidRPr="00EC3C40" w:rsidRDefault="00F34A73" w:rsidP="00F34A73">
      <w:pPr>
        <w:widowControl w:val="0"/>
        <w:spacing w:after="120"/>
        <w:rPr>
          <w:b/>
          <w:bCs/>
          <w:color w:val="B23B0F"/>
          <w:sz w:val="28"/>
          <w:szCs w:val="28"/>
          <w:lang w:val="en-US"/>
        </w:rPr>
      </w:pPr>
      <w:r w:rsidRPr="00EC3C40">
        <w:rPr>
          <w:b/>
          <w:bCs/>
          <w:color w:val="B23B0F"/>
          <w:sz w:val="28"/>
          <w:szCs w:val="28"/>
          <w:lang w:val="en-US"/>
        </w:rPr>
        <w:t>The Values underpinning this Strategic Plan are:</w:t>
      </w:r>
    </w:p>
    <w:p w14:paraId="329A4125" w14:textId="77777777" w:rsidR="00F34A73" w:rsidRPr="00F57AD6" w:rsidRDefault="00F34A73" w:rsidP="00A02BD6">
      <w:pPr>
        <w:pStyle w:val="ListParagraph"/>
        <w:widowControl w:val="0"/>
        <w:numPr>
          <w:ilvl w:val="0"/>
          <w:numId w:val="5"/>
        </w:numPr>
        <w:spacing w:after="120"/>
        <w:ind w:left="567" w:hanging="567"/>
        <w:contextualSpacing w:val="0"/>
        <w:rPr>
          <w:lang w:val="en-US"/>
        </w:rPr>
      </w:pPr>
      <w:r w:rsidRPr="00F57AD6">
        <w:rPr>
          <w:lang w:val="en-US"/>
        </w:rPr>
        <w:t>Equity of access and inclusion</w:t>
      </w:r>
      <w:r>
        <w:rPr>
          <w:lang w:val="en-US"/>
        </w:rPr>
        <w:t>.</w:t>
      </w:r>
    </w:p>
    <w:p w14:paraId="62C204FA" w14:textId="77777777" w:rsidR="00F34A73" w:rsidRPr="00F57AD6" w:rsidRDefault="00F34A73" w:rsidP="00A02BD6">
      <w:pPr>
        <w:pStyle w:val="ListParagraph"/>
        <w:widowControl w:val="0"/>
        <w:numPr>
          <w:ilvl w:val="0"/>
          <w:numId w:val="5"/>
        </w:numPr>
        <w:spacing w:after="120"/>
        <w:ind w:left="567" w:hanging="567"/>
        <w:contextualSpacing w:val="0"/>
        <w:rPr>
          <w:lang w:val="en-US"/>
        </w:rPr>
      </w:pPr>
      <w:r w:rsidRPr="00F57AD6">
        <w:rPr>
          <w:lang w:val="en-US"/>
        </w:rPr>
        <w:t>Increased participation</w:t>
      </w:r>
      <w:r>
        <w:rPr>
          <w:lang w:val="en-US"/>
        </w:rPr>
        <w:t>.</w:t>
      </w:r>
    </w:p>
    <w:p w14:paraId="4845D12C" w14:textId="77777777" w:rsidR="00F34A73" w:rsidRPr="00F57AD6" w:rsidRDefault="00F34A73" w:rsidP="00A02BD6">
      <w:pPr>
        <w:pStyle w:val="ListParagraph"/>
        <w:widowControl w:val="0"/>
        <w:numPr>
          <w:ilvl w:val="0"/>
          <w:numId w:val="5"/>
        </w:numPr>
        <w:spacing w:after="120"/>
        <w:ind w:left="567" w:hanging="567"/>
        <w:contextualSpacing w:val="0"/>
        <w:rPr>
          <w:lang w:val="en-US"/>
        </w:rPr>
      </w:pPr>
      <w:r w:rsidRPr="00F57AD6">
        <w:rPr>
          <w:lang w:val="en-US"/>
        </w:rPr>
        <w:t>Addressing persistent inequalities</w:t>
      </w:r>
      <w:r>
        <w:rPr>
          <w:lang w:val="en-US"/>
        </w:rPr>
        <w:t>.</w:t>
      </w:r>
      <w:r w:rsidRPr="00F57AD6">
        <w:rPr>
          <w:lang w:val="en-US"/>
        </w:rPr>
        <w:t xml:space="preserve"> </w:t>
      </w:r>
    </w:p>
    <w:p w14:paraId="39766378" w14:textId="77777777" w:rsidR="00F34A73" w:rsidRPr="00F57AD6" w:rsidRDefault="00F34A73" w:rsidP="00A02BD6">
      <w:pPr>
        <w:pStyle w:val="ListParagraph"/>
        <w:widowControl w:val="0"/>
        <w:numPr>
          <w:ilvl w:val="0"/>
          <w:numId w:val="5"/>
        </w:numPr>
        <w:spacing w:after="120"/>
        <w:ind w:left="567" w:hanging="567"/>
        <w:contextualSpacing w:val="0"/>
        <w:rPr>
          <w:lang w:val="en-US"/>
        </w:rPr>
      </w:pPr>
      <w:r w:rsidRPr="00F57AD6">
        <w:rPr>
          <w:lang w:val="en-US"/>
        </w:rPr>
        <w:t>Increased social cohesion</w:t>
      </w:r>
      <w:r>
        <w:rPr>
          <w:lang w:val="en-US"/>
        </w:rPr>
        <w:t>.</w:t>
      </w:r>
    </w:p>
    <w:p w14:paraId="0DD2CE4F" w14:textId="77777777" w:rsidR="00F34A73" w:rsidRPr="00F57AD6" w:rsidRDefault="00F34A73" w:rsidP="00A02BD6">
      <w:pPr>
        <w:pStyle w:val="ListParagraph"/>
        <w:widowControl w:val="0"/>
        <w:numPr>
          <w:ilvl w:val="0"/>
          <w:numId w:val="5"/>
        </w:numPr>
        <w:spacing w:after="120"/>
        <w:ind w:left="567" w:hanging="567"/>
        <w:contextualSpacing w:val="0"/>
        <w:rPr>
          <w:lang w:val="en-US"/>
        </w:rPr>
      </w:pPr>
      <w:r w:rsidRPr="00F57AD6">
        <w:rPr>
          <w:lang w:val="en-US"/>
        </w:rPr>
        <w:t>Strengthened communities</w:t>
      </w:r>
      <w:r>
        <w:rPr>
          <w:lang w:val="en-US"/>
        </w:rPr>
        <w:t>.</w:t>
      </w:r>
      <w:r w:rsidRPr="00F57AD6">
        <w:rPr>
          <w:lang w:val="en-US"/>
        </w:rPr>
        <w:t xml:space="preserve"> </w:t>
      </w:r>
    </w:p>
    <w:p w14:paraId="6B416CC3" w14:textId="77777777" w:rsidR="00F34A73" w:rsidRPr="00EC3C40" w:rsidRDefault="00F34A73" w:rsidP="00F34A73">
      <w:pPr>
        <w:pStyle w:val="Heading1"/>
        <w:keepNext w:val="0"/>
        <w:keepLines w:val="0"/>
        <w:widowControl w:val="0"/>
        <w:pBdr>
          <w:bottom w:val="single" w:sz="4" w:space="1" w:color="auto"/>
        </w:pBdr>
        <w:spacing w:before="120" w:after="120" w:line="276" w:lineRule="auto"/>
        <w:rPr>
          <w:rFonts w:ascii="Century Gothic" w:hAnsi="Century Gothic"/>
          <w:color w:val="B23B0F"/>
          <w:sz w:val="32"/>
          <w:szCs w:val="32"/>
          <w:lang w:val="en-US"/>
        </w:rPr>
      </w:pPr>
      <w:bookmarkStart w:id="4" w:name="_Toc54711597"/>
      <w:bookmarkStart w:id="5" w:name="_Toc54870896"/>
      <w:r w:rsidRPr="00EC3C40">
        <w:rPr>
          <w:rFonts w:ascii="Century Gothic" w:hAnsi="Century Gothic"/>
          <w:color w:val="B23B0F"/>
          <w:sz w:val="32"/>
          <w:szCs w:val="32"/>
          <w:lang w:val="en-US"/>
        </w:rPr>
        <w:t>Background</w:t>
      </w:r>
      <w:bookmarkEnd w:id="4"/>
      <w:bookmarkEnd w:id="5"/>
    </w:p>
    <w:p w14:paraId="47F65A4B" w14:textId="77777777" w:rsidR="00F34A73" w:rsidRPr="00B85A09" w:rsidRDefault="00F34A73" w:rsidP="00F34A73">
      <w:pPr>
        <w:widowControl w:val="0"/>
        <w:spacing w:after="120"/>
        <w:rPr>
          <w:b/>
          <w:bCs/>
          <w:color w:val="B23B0F"/>
          <w:sz w:val="28"/>
          <w:szCs w:val="28"/>
        </w:rPr>
      </w:pPr>
      <w:r w:rsidRPr="00B85A09">
        <w:rPr>
          <w:b/>
          <w:bCs/>
          <w:color w:val="B23B0F"/>
          <w:sz w:val="28"/>
          <w:szCs w:val="28"/>
        </w:rPr>
        <w:t xml:space="preserve">Definitions </w:t>
      </w:r>
    </w:p>
    <w:p w14:paraId="50F2C6FD" w14:textId="77777777" w:rsidR="00F34A73" w:rsidRPr="003362E2" w:rsidRDefault="00F34A73" w:rsidP="00F34A73">
      <w:pPr>
        <w:widowControl w:val="0"/>
        <w:spacing w:after="120"/>
      </w:pPr>
      <w:r w:rsidRPr="005C1D88">
        <w:rPr>
          <w:b/>
          <w:bCs/>
          <w:i/>
          <w:iCs/>
        </w:rPr>
        <w:t>Creative spaces</w:t>
      </w:r>
      <w:r w:rsidRPr="003362E2">
        <w:t xml:space="preserve">: </w:t>
      </w:r>
      <w:r>
        <w:t xml:space="preserve">are </w:t>
      </w:r>
      <w:r w:rsidRPr="003362E2">
        <w:t>organisations and groups where:</w:t>
      </w:r>
    </w:p>
    <w:p w14:paraId="0CC8A64A" w14:textId="77777777" w:rsidR="00F34A73" w:rsidRPr="003362E2" w:rsidRDefault="00F34A73" w:rsidP="00A02BD6">
      <w:pPr>
        <w:pStyle w:val="ListParagraph"/>
        <w:widowControl w:val="0"/>
        <w:numPr>
          <w:ilvl w:val="0"/>
          <w:numId w:val="6"/>
        </w:numPr>
        <w:spacing w:after="120"/>
        <w:ind w:left="567" w:hanging="567"/>
        <w:contextualSpacing w:val="0"/>
      </w:pPr>
      <w:r>
        <w:t>T</w:t>
      </w:r>
      <w:r w:rsidRPr="003362E2">
        <w:t>he provision of artistic activities and services (to support self-expression, empowerment, and self-development) is the main purpose of the organisation or space</w:t>
      </w:r>
      <w:r>
        <w:t>.</w:t>
      </w:r>
    </w:p>
    <w:p w14:paraId="08A01836" w14:textId="77777777" w:rsidR="00F34A73" w:rsidRPr="003362E2" w:rsidRDefault="00F34A73" w:rsidP="00A02BD6">
      <w:pPr>
        <w:pStyle w:val="ListParagraph"/>
        <w:widowControl w:val="0"/>
        <w:numPr>
          <w:ilvl w:val="0"/>
          <w:numId w:val="6"/>
        </w:numPr>
        <w:spacing w:after="120"/>
        <w:ind w:left="567" w:hanging="567"/>
        <w:contextualSpacing w:val="0"/>
      </w:pPr>
      <w:r>
        <w:t>P</w:t>
      </w:r>
      <w:r w:rsidRPr="003362E2">
        <w:t>eople, including Māori and Pasifika, experience barriers to participation in making art or in artistic activities such as theatre, dance, circus, music, film, and creative writing</w:t>
      </w:r>
      <w:r>
        <w:t>.</w:t>
      </w:r>
    </w:p>
    <w:p w14:paraId="00CD935B" w14:textId="77777777" w:rsidR="00F34A73" w:rsidRPr="003362E2" w:rsidRDefault="00F34A73" w:rsidP="00A02BD6">
      <w:pPr>
        <w:pStyle w:val="ListParagraph"/>
        <w:widowControl w:val="0"/>
        <w:numPr>
          <w:ilvl w:val="0"/>
          <w:numId w:val="6"/>
        </w:numPr>
        <w:spacing w:after="120"/>
        <w:ind w:left="567" w:hanging="567"/>
        <w:contextualSpacing w:val="0"/>
      </w:pPr>
      <w:r>
        <w:t>B</w:t>
      </w:r>
      <w:r w:rsidRPr="003362E2">
        <w:t xml:space="preserve">arriers to participation </w:t>
      </w:r>
      <w:r>
        <w:t xml:space="preserve">can, for example, </w:t>
      </w:r>
      <w:r w:rsidRPr="003362E2">
        <w:t xml:space="preserve">relate to one or more of the following: </w:t>
      </w:r>
      <w:r>
        <w:t xml:space="preserve">Deaf, </w:t>
      </w:r>
      <w:r w:rsidRPr="003362E2">
        <w:t xml:space="preserve">physical disability, </w:t>
      </w:r>
      <w:r>
        <w:t xml:space="preserve">learning disability, sensory disability, </w:t>
      </w:r>
      <w:r w:rsidRPr="003362E2">
        <w:t>neurological condition, mental ill health, age-related vulnerability, isolation, poverty or under a Corrections sentence.</w:t>
      </w:r>
    </w:p>
    <w:p w14:paraId="699AC553" w14:textId="77777777" w:rsidR="00F34A73" w:rsidRPr="0051181B" w:rsidRDefault="00F34A73" w:rsidP="00F34A73">
      <w:pPr>
        <w:widowControl w:val="0"/>
        <w:spacing w:after="120"/>
      </w:pPr>
      <w:r>
        <w:rPr>
          <w:b/>
          <w:bCs/>
          <w:i/>
          <w:iCs/>
        </w:rPr>
        <w:t>The a</w:t>
      </w:r>
      <w:r w:rsidRPr="0051181B">
        <w:rPr>
          <w:b/>
          <w:bCs/>
          <w:i/>
          <w:iCs/>
        </w:rPr>
        <w:t>rt programmes</w:t>
      </w:r>
      <w:r>
        <w:rPr>
          <w:b/>
          <w:bCs/>
          <w:i/>
          <w:iCs/>
        </w:rPr>
        <w:t xml:space="preserve"> included in this plan</w:t>
      </w:r>
      <w:r w:rsidRPr="003362E2">
        <w:rPr>
          <w:i/>
          <w:iCs/>
        </w:rPr>
        <w:t xml:space="preserve">: </w:t>
      </w:r>
      <w:r w:rsidRPr="001D436B">
        <w:t xml:space="preserve">are </w:t>
      </w:r>
      <w:r>
        <w:t xml:space="preserve">the art </w:t>
      </w:r>
      <w:r w:rsidRPr="001D436B">
        <w:t>programmes provided by</w:t>
      </w:r>
      <w:r>
        <w:rPr>
          <w:i/>
          <w:iCs/>
        </w:rPr>
        <w:t xml:space="preserve"> </w:t>
      </w:r>
      <w:r w:rsidRPr="003362E2">
        <w:t xml:space="preserve">organisations and groups for people with barriers to participation, </w:t>
      </w:r>
      <w:r w:rsidRPr="0051181B">
        <w:t xml:space="preserve">but </w:t>
      </w:r>
      <w:r>
        <w:t>these</w:t>
      </w:r>
      <w:r w:rsidRPr="0051181B">
        <w:t xml:space="preserve"> programmes are not the</w:t>
      </w:r>
      <w:r>
        <w:t xml:space="preserve">ir </w:t>
      </w:r>
      <w:r w:rsidRPr="0051181B">
        <w:t>primary focus</w:t>
      </w:r>
      <w:r>
        <w:t>.</w:t>
      </w:r>
    </w:p>
    <w:p w14:paraId="7190F4FD" w14:textId="4EAC6AA2" w:rsidR="00F34A73" w:rsidRDefault="00F34A73" w:rsidP="00F34A73">
      <w:pPr>
        <w:widowControl w:val="0"/>
        <w:spacing w:after="120"/>
      </w:pPr>
      <w:r w:rsidRPr="0051181B">
        <w:rPr>
          <w:b/>
          <w:bCs/>
          <w:i/>
          <w:iCs/>
        </w:rPr>
        <w:t>Participants</w:t>
      </w:r>
      <w:r w:rsidRPr="003362E2">
        <w:t xml:space="preserve">: the people who access the services, activities or programmes of a creative space or art programme. This does not include audience members. </w:t>
      </w:r>
    </w:p>
    <w:p w14:paraId="39C93547" w14:textId="77777777" w:rsidR="00C37413" w:rsidRPr="00C37413" w:rsidRDefault="00C37413" w:rsidP="00C37413">
      <w:pPr>
        <w:widowControl w:val="0"/>
        <w:spacing w:after="120"/>
        <w:rPr>
          <w:b/>
          <w:bCs/>
          <w:color w:val="B23B0F"/>
          <w:sz w:val="28"/>
          <w:szCs w:val="28"/>
          <w:lang w:val="en-US"/>
        </w:rPr>
      </w:pPr>
      <w:r w:rsidRPr="00C37413">
        <w:rPr>
          <w:b/>
          <w:bCs/>
          <w:color w:val="B23B0F"/>
          <w:sz w:val="28"/>
          <w:szCs w:val="28"/>
          <w:lang w:val="en-US"/>
        </w:rPr>
        <w:t xml:space="preserve">Methodology </w:t>
      </w:r>
    </w:p>
    <w:p w14:paraId="770DBB2F" w14:textId="77777777" w:rsidR="00C37413" w:rsidRDefault="00C37413" w:rsidP="00C37413">
      <w:pPr>
        <w:widowControl w:val="0"/>
        <w:spacing w:after="120"/>
        <w:rPr>
          <w:lang w:val="en-US"/>
        </w:rPr>
      </w:pPr>
      <w:r>
        <w:rPr>
          <w:lang w:val="en-US"/>
        </w:rPr>
        <w:t>T</w:t>
      </w:r>
      <w:r w:rsidRPr="000C2644">
        <w:rPr>
          <w:lang w:val="en-US"/>
        </w:rPr>
        <w:t xml:space="preserve">his Strategic Plan </w:t>
      </w:r>
      <w:r>
        <w:rPr>
          <w:lang w:val="en-US"/>
        </w:rPr>
        <w:t>was developed in 2020 by:</w:t>
      </w:r>
    </w:p>
    <w:p w14:paraId="64D2E478" w14:textId="77777777" w:rsidR="00C37413" w:rsidRDefault="00C37413" w:rsidP="00C37413">
      <w:pPr>
        <w:pStyle w:val="ListParagraph"/>
        <w:widowControl w:val="0"/>
        <w:numPr>
          <w:ilvl w:val="0"/>
          <w:numId w:val="7"/>
        </w:numPr>
        <w:spacing w:after="120"/>
        <w:ind w:left="567" w:hanging="567"/>
        <w:contextualSpacing w:val="0"/>
        <w:rPr>
          <w:lang w:val="en-US"/>
        </w:rPr>
      </w:pPr>
      <w:r>
        <w:rPr>
          <w:lang w:val="en-US"/>
        </w:rPr>
        <w:t xml:space="preserve">Aligning with the vision and expectations of Foundation North and Auckland Council. </w:t>
      </w:r>
    </w:p>
    <w:p w14:paraId="0993CD1A" w14:textId="5100ABDB" w:rsidR="00C37413" w:rsidRDefault="00C37413" w:rsidP="00C37413">
      <w:pPr>
        <w:pStyle w:val="ListParagraph"/>
        <w:widowControl w:val="0"/>
        <w:numPr>
          <w:ilvl w:val="0"/>
          <w:numId w:val="7"/>
        </w:numPr>
        <w:spacing w:after="120"/>
        <w:ind w:left="567" w:hanging="567"/>
        <w:contextualSpacing w:val="0"/>
        <w:rPr>
          <w:lang w:val="en-US"/>
        </w:rPr>
      </w:pPr>
      <w:r>
        <w:rPr>
          <w:lang w:val="en-US"/>
        </w:rPr>
        <w:t xml:space="preserve">Building from existing international, national, Auckland University, </w:t>
      </w:r>
      <w:r w:rsidR="00CB2587">
        <w:rPr>
          <w:lang w:val="en-US"/>
        </w:rPr>
        <w:t xml:space="preserve">Te Taumatua </w:t>
      </w:r>
      <w:r w:rsidR="006833A3">
        <w:rPr>
          <w:lang w:val="en-US"/>
        </w:rPr>
        <w:t>Toi-a-</w:t>
      </w:r>
      <w:r w:rsidR="00AC2A66">
        <w:rPr>
          <w:lang w:val="en-US"/>
        </w:rPr>
        <w:t>i</w:t>
      </w:r>
      <w:r w:rsidR="006833A3">
        <w:rPr>
          <w:lang w:val="en-US"/>
        </w:rPr>
        <w:t xml:space="preserve">wi, </w:t>
      </w:r>
      <w:r>
        <w:rPr>
          <w:lang w:val="en-US"/>
        </w:rPr>
        <w:t>and other Auckland-based research</w:t>
      </w:r>
      <w:r w:rsidR="00BF592F">
        <w:rPr>
          <w:lang w:val="en-US"/>
        </w:rPr>
        <w:t>, literature</w:t>
      </w:r>
      <w:r>
        <w:rPr>
          <w:lang w:val="en-US"/>
        </w:rPr>
        <w:t xml:space="preserve">, and knowledge. </w:t>
      </w:r>
    </w:p>
    <w:p w14:paraId="06301B71" w14:textId="77777777" w:rsidR="00C37413" w:rsidRDefault="00C37413" w:rsidP="00C37413">
      <w:pPr>
        <w:pStyle w:val="ListParagraph"/>
        <w:widowControl w:val="0"/>
        <w:numPr>
          <w:ilvl w:val="0"/>
          <w:numId w:val="7"/>
        </w:numPr>
        <w:spacing w:after="120"/>
        <w:ind w:left="567" w:hanging="567"/>
        <w:contextualSpacing w:val="0"/>
        <w:rPr>
          <w:lang w:val="en-US"/>
        </w:rPr>
      </w:pPr>
      <w:r>
        <w:rPr>
          <w:lang w:val="en-US"/>
        </w:rPr>
        <w:t>Utilising expert advice.</w:t>
      </w:r>
    </w:p>
    <w:p w14:paraId="7E996BFA" w14:textId="77777777" w:rsidR="00C37413" w:rsidRDefault="00C37413" w:rsidP="00C37413">
      <w:pPr>
        <w:pStyle w:val="ListParagraph"/>
        <w:widowControl w:val="0"/>
        <w:numPr>
          <w:ilvl w:val="0"/>
          <w:numId w:val="7"/>
        </w:numPr>
        <w:spacing w:after="120"/>
        <w:ind w:left="567" w:hanging="567"/>
        <w:contextualSpacing w:val="0"/>
        <w:rPr>
          <w:lang w:val="en-US"/>
        </w:rPr>
      </w:pPr>
      <w:r>
        <w:rPr>
          <w:lang w:val="en-US"/>
        </w:rPr>
        <w:t xml:space="preserve">Surveying 24 creative spaces and arts organisations in Auckland with an 88 percent response rate. The survey results are captured in a companion document </w:t>
      </w:r>
      <w:r w:rsidRPr="008D389F">
        <w:rPr>
          <w:i/>
          <w:iCs/>
          <w:lang w:val="en-US"/>
        </w:rPr>
        <w:t>A Sector Seeking Support in 2020 and Beyond: Auckland’s Creative Spaces and Arts Programmes</w:t>
      </w:r>
      <w:r>
        <w:rPr>
          <w:lang w:val="en-US"/>
        </w:rPr>
        <w:t xml:space="preserve">. </w:t>
      </w:r>
    </w:p>
    <w:p w14:paraId="5ED06349" w14:textId="77777777" w:rsidR="00C37413" w:rsidRDefault="00C37413" w:rsidP="00C37413">
      <w:pPr>
        <w:pStyle w:val="ListParagraph"/>
        <w:widowControl w:val="0"/>
        <w:numPr>
          <w:ilvl w:val="0"/>
          <w:numId w:val="7"/>
        </w:numPr>
        <w:spacing w:after="120"/>
        <w:ind w:left="567" w:hanging="567"/>
        <w:contextualSpacing w:val="0"/>
        <w:rPr>
          <w:lang w:val="en-US"/>
        </w:rPr>
      </w:pPr>
      <w:r>
        <w:rPr>
          <w:lang w:val="en-US"/>
        </w:rPr>
        <w:t xml:space="preserve">Seeking feedback on the draft plan from the sector, experts, key personnel, and our strategic partner Foundation North. </w:t>
      </w:r>
    </w:p>
    <w:p w14:paraId="3EB098F8" w14:textId="5C9CB95D" w:rsidR="00C37413" w:rsidRDefault="00C37413" w:rsidP="00F34A73">
      <w:pPr>
        <w:widowControl w:val="0"/>
        <w:spacing w:after="120"/>
        <w:rPr>
          <w:b/>
          <w:bCs/>
          <w:color w:val="B23B0F"/>
          <w:sz w:val="28"/>
          <w:szCs w:val="28"/>
        </w:rPr>
      </w:pPr>
      <w:r>
        <w:rPr>
          <w:b/>
          <w:bCs/>
          <w:color w:val="B23B0F"/>
          <w:sz w:val="28"/>
          <w:szCs w:val="28"/>
        </w:rPr>
        <w:t xml:space="preserve">Literature Review </w:t>
      </w:r>
    </w:p>
    <w:p w14:paraId="61139288" w14:textId="0FEE293C" w:rsidR="00F34A73" w:rsidRPr="00C37413" w:rsidRDefault="00F34A73" w:rsidP="00F34A73">
      <w:pPr>
        <w:widowControl w:val="0"/>
        <w:spacing w:after="120"/>
        <w:rPr>
          <w:b/>
          <w:bCs/>
          <w:i/>
          <w:iCs/>
        </w:rPr>
      </w:pPr>
      <w:r w:rsidRPr="00C37413">
        <w:rPr>
          <w:b/>
          <w:bCs/>
          <w:i/>
          <w:iCs/>
        </w:rPr>
        <w:t xml:space="preserve">International studies </w:t>
      </w:r>
    </w:p>
    <w:p w14:paraId="46E958BA" w14:textId="5E048596" w:rsidR="00F34A73" w:rsidRDefault="00F34A73" w:rsidP="00F34A73">
      <w:pPr>
        <w:widowControl w:val="0"/>
        <w:spacing w:after="120"/>
        <w:rPr>
          <w:rFonts w:cs="Times New Roman"/>
        </w:rPr>
      </w:pPr>
      <w:r w:rsidRPr="00F23630">
        <w:rPr>
          <w:rFonts w:cs="Times New Roman"/>
        </w:rPr>
        <w:t xml:space="preserve">An overseas meta-analysis of </w:t>
      </w:r>
      <w:r>
        <w:rPr>
          <w:rFonts w:cs="Times New Roman"/>
        </w:rPr>
        <w:t xml:space="preserve">evaluations of </w:t>
      </w:r>
      <w:r w:rsidRPr="00F23630">
        <w:rPr>
          <w:rFonts w:cs="Times New Roman"/>
        </w:rPr>
        <w:t>the link between arts and health outcomes indicates a return on investment of</w:t>
      </w:r>
      <w:r>
        <w:rPr>
          <w:rFonts w:cs="Times New Roman"/>
        </w:rPr>
        <w:t xml:space="preserve"> 1:4</w:t>
      </w:r>
      <w:r w:rsidRPr="00F23630">
        <w:rPr>
          <w:rFonts w:cs="Times New Roman"/>
        </w:rPr>
        <w:t xml:space="preserve"> (</w:t>
      </w:r>
      <w:r>
        <w:rPr>
          <w:rFonts w:cs="Times New Roman"/>
        </w:rPr>
        <w:t xml:space="preserve">Stuckey &amp; </w:t>
      </w:r>
      <w:r w:rsidRPr="00F23630">
        <w:rPr>
          <w:rFonts w:cs="Times New Roman"/>
        </w:rPr>
        <w:t xml:space="preserve">Nobel, J. </w:t>
      </w:r>
      <w:r>
        <w:rPr>
          <w:rFonts w:cs="Times New Roman"/>
        </w:rPr>
        <w:t xml:space="preserve">2010. </w:t>
      </w:r>
      <w:r>
        <w:rPr>
          <w:rFonts w:cs="Times New Roman"/>
          <w:i/>
        </w:rPr>
        <w:t>AJPH</w:t>
      </w:r>
      <w:r>
        <w:rPr>
          <w:rFonts w:cs="Times New Roman"/>
        </w:rPr>
        <w:t xml:space="preserve">). </w:t>
      </w:r>
    </w:p>
    <w:p w14:paraId="00FDB1F0" w14:textId="77777777" w:rsidR="00F34A73" w:rsidRDefault="00F34A73" w:rsidP="00F34A73">
      <w:pPr>
        <w:widowControl w:val="0"/>
        <w:spacing w:after="120"/>
        <w:rPr>
          <w:rFonts w:cs="Times New Roman"/>
        </w:rPr>
      </w:pPr>
      <w:r>
        <w:rPr>
          <w:rFonts w:cs="Times New Roman"/>
        </w:rPr>
        <w:t xml:space="preserve">A 2017 UK study of ‘arts on prescription’ found a return on investment of between £4 and £11 for every £1 invested (All-Party Parliamentary Group on Arts, Health and Wellbeing Inquiry Report). </w:t>
      </w:r>
    </w:p>
    <w:p w14:paraId="1F9FF9EA" w14:textId="77777777" w:rsidR="00F34A73" w:rsidRPr="00F23630" w:rsidRDefault="00F34A73" w:rsidP="00F34A73">
      <w:pPr>
        <w:widowControl w:val="0"/>
        <w:spacing w:after="120"/>
        <w:rPr>
          <w:rFonts w:cs="Times New Roman"/>
        </w:rPr>
      </w:pPr>
      <w:r w:rsidRPr="00F23630">
        <w:rPr>
          <w:rFonts w:cs="Times New Roman"/>
        </w:rPr>
        <w:t>If the findings from</w:t>
      </w:r>
      <w:r>
        <w:rPr>
          <w:rFonts w:cs="Times New Roman"/>
        </w:rPr>
        <w:t xml:space="preserve"> these studies</w:t>
      </w:r>
      <w:r w:rsidRPr="00F23630">
        <w:rPr>
          <w:rFonts w:cs="Times New Roman"/>
        </w:rPr>
        <w:t xml:space="preserve"> can be extrapolated to the NZ situation, then for every $1.00 invested in a </w:t>
      </w:r>
      <w:r>
        <w:rPr>
          <w:rFonts w:cs="Times New Roman"/>
        </w:rPr>
        <w:t xml:space="preserve">person attending a </w:t>
      </w:r>
      <w:r w:rsidRPr="00F23630">
        <w:rPr>
          <w:rFonts w:cs="Times New Roman"/>
        </w:rPr>
        <w:t>creative space</w:t>
      </w:r>
      <w:r>
        <w:rPr>
          <w:rFonts w:cs="Times New Roman"/>
        </w:rPr>
        <w:t xml:space="preserve"> or arts programme</w:t>
      </w:r>
      <w:r w:rsidRPr="00F23630">
        <w:rPr>
          <w:rFonts w:cs="Times New Roman"/>
        </w:rPr>
        <w:t xml:space="preserve">, </w:t>
      </w:r>
      <w:r>
        <w:rPr>
          <w:rFonts w:cs="Times New Roman"/>
        </w:rPr>
        <w:t xml:space="preserve">at least </w:t>
      </w:r>
      <w:r w:rsidRPr="00F23630">
        <w:rPr>
          <w:rFonts w:cs="Times New Roman"/>
        </w:rPr>
        <w:t>$4.00</w:t>
      </w:r>
      <w:r>
        <w:rPr>
          <w:rFonts w:cs="Times New Roman"/>
        </w:rPr>
        <w:t xml:space="preserve"> could</w:t>
      </w:r>
      <w:r w:rsidRPr="00F23630">
        <w:rPr>
          <w:rFonts w:cs="Times New Roman"/>
        </w:rPr>
        <w:t xml:space="preserve"> be returned through </w:t>
      </w:r>
      <w:r>
        <w:rPr>
          <w:rFonts w:cs="Times New Roman"/>
        </w:rPr>
        <w:t xml:space="preserve">their </w:t>
      </w:r>
      <w:r w:rsidRPr="00F23630">
        <w:rPr>
          <w:rFonts w:cs="Times New Roman"/>
        </w:rPr>
        <w:t xml:space="preserve">improved social, </w:t>
      </w:r>
      <w:r>
        <w:rPr>
          <w:rFonts w:cs="Times New Roman"/>
        </w:rPr>
        <w:t xml:space="preserve">health and justice outcomes and, therefore, </w:t>
      </w:r>
      <w:r w:rsidRPr="00F23630">
        <w:rPr>
          <w:rFonts w:cs="Times New Roman"/>
        </w:rPr>
        <w:t xml:space="preserve">reduced demand on taxpayer funded services. </w:t>
      </w:r>
    </w:p>
    <w:p w14:paraId="5743428D" w14:textId="49783C1C" w:rsidR="00F34A73" w:rsidRPr="00C37413" w:rsidRDefault="00F34A73" w:rsidP="00F34A73">
      <w:pPr>
        <w:widowControl w:val="0"/>
        <w:spacing w:after="120"/>
        <w:rPr>
          <w:b/>
          <w:bCs/>
          <w:i/>
          <w:iCs/>
        </w:rPr>
      </w:pPr>
      <w:r w:rsidRPr="00C37413">
        <w:rPr>
          <w:b/>
          <w:bCs/>
          <w:i/>
          <w:iCs/>
        </w:rPr>
        <w:t xml:space="preserve">New Zealand studies </w:t>
      </w:r>
    </w:p>
    <w:p w14:paraId="1C8B4CDC" w14:textId="08344B26" w:rsidR="00C37413" w:rsidRDefault="00C37413" w:rsidP="00C37413">
      <w:pPr>
        <w:widowControl w:val="0"/>
        <w:spacing w:after="120"/>
      </w:pPr>
      <w:r>
        <w:t xml:space="preserve">New Zealand studies support the health and wellbeing role of creative spaces and arts organisations. </w:t>
      </w:r>
    </w:p>
    <w:p w14:paraId="4A5CF792" w14:textId="6E85C2B3" w:rsidR="00F34A73" w:rsidRDefault="00F34A73" w:rsidP="00AC3D80">
      <w:pPr>
        <w:widowControl w:val="0"/>
        <w:spacing w:after="120"/>
        <w:rPr>
          <w:rFonts w:cs="Times New Roman"/>
        </w:rPr>
      </w:pPr>
      <w:r w:rsidRPr="00BB4C5F">
        <w:t xml:space="preserve">A nationwide study </w:t>
      </w:r>
      <w:r>
        <w:t xml:space="preserve">from </w:t>
      </w:r>
      <w:r w:rsidRPr="00BB4C5F">
        <w:t>2019</w:t>
      </w:r>
      <w:r>
        <w:t xml:space="preserve">, </w:t>
      </w:r>
      <w:r w:rsidRPr="00BB4C5F">
        <w:rPr>
          <w:i/>
          <w:iCs/>
        </w:rPr>
        <w:t>Understanding the Value of Creative Spaces</w:t>
      </w:r>
      <w:r>
        <w:t xml:space="preserve">, </w:t>
      </w:r>
      <w:r>
        <w:rPr>
          <w:lang w:val="en-US"/>
        </w:rPr>
        <w:t xml:space="preserve">found that just </w:t>
      </w:r>
      <w:r w:rsidRPr="0077376E">
        <w:rPr>
          <w:rFonts w:cs="Times New Roman"/>
        </w:rPr>
        <w:t>under 90 percent of</w:t>
      </w:r>
      <w:r>
        <w:rPr>
          <w:rFonts w:cs="Times New Roman"/>
        </w:rPr>
        <w:t xml:space="preserve"> participants </w:t>
      </w:r>
      <w:r w:rsidRPr="0077376E">
        <w:rPr>
          <w:rFonts w:cs="Times New Roman"/>
        </w:rPr>
        <w:t xml:space="preserve">at creative spaces have mental health issues as at least one of their conditions. The report </w:t>
      </w:r>
      <w:r>
        <w:rPr>
          <w:rFonts w:cs="Times New Roman"/>
        </w:rPr>
        <w:t xml:space="preserve">in the same year </w:t>
      </w:r>
      <w:r w:rsidRPr="0077376E">
        <w:rPr>
          <w:rFonts w:cs="Times New Roman"/>
        </w:rPr>
        <w:t xml:space="preserve">from the Mental Health Inquiry, </w:t>
      </w:r>
      <w:r w:rsidRPr="0077376E">
        <w:rPr>
          <w:rFonts w:cs="Times New Roman"/>
          <w:i/>
        </w:rPr>
        <w:t>He-Ara-Oranga</w:t>
      </w:r>
      <w:r w:rsidRPr="0077376E">
        <w:rPr>
          <w:rFonts w:cs="Times New Roman"/>
        </w:rPr>
        <w:t>, recommended community-based support and solutions</w:t>
      </w:r>
      <w:r>
        <w:rPr>
          <w:rFonts w:cs="Times New Roman"/>
        </w:rPr>
        <w:t xml:space="preserve"> for mental health issues</w:t>
      </w:r>
      <w:r w:rsidRPr="0077376E">
        <w:rPr>
          <w:rFonts w:cs="Times New Roman"/>
        </w:rPr>
        <w:t>.</w:t>
      </w:r>
      <w:r w:rsidRPr="00F23630">
        <w:rPr>
          <w:rFonts w:cs="Times New Roman"/>
        </w:rPr>
        <w:t xml:space="preserve"> </w:t>
      </w:r>
      <w:r>
        <w:rPr>
          <w:rFonts w:cs="Times New Roman"/>
        </w:rPr>
        <w:t xml:space="preserve">Creative spaces provide such community-based solutions. </w:t>
      </w:r>
    </w:p>
    <w:p w14:paraId="6B928430" w14:textId="77777777" w:rsidR="00F34A73" w:rsidRPr="00B00323" w:rsidRDefault="00F34A73" w:rsidP="00AC3D80">
      <w:pPr>
        <w:widowControl w:val="0"/>
        <w:spacing w:after="120"/>
        <w:rPr>
          <w:rFonts w:cs="Times New Roman"/>
        </w:rPr>
      </w:pPr>
      <w:r>
        <w:rPr>
          <w:rFonts w:cs="Times New Roman"/>
        </w:rPr>
        <w:t xml:space="preserve">An evaluation of the Ōtauhahi Creative Spaces Trust (published by Ihi Research in 2017) focused on the impacts on participant’s lives of artmaking at this creative space. It found that the programme enabled participants to develop new positive identities as practising artists and to be viewed as valued family and community members. Findings indicated the programme facilitated mental and physical wellbeing. </w:t>
      </w:r>
    </w:p>
    <w:p w14:paraId="6EE611B5" w14:textId="53D1B079" w:rsidR="00F34A73" w:rsidRPr="00C37413" w:rsidRDefault="00F34A73" w:rsidP="00AC3D80">
      <w:pPr>
        <w:widowControl w:val="0"/>
        <w:spacing w:after="120"/>
        <w:rPr>
          <w:b/>
          <w:bCs/>
          <w:i/>
          <w:iCs/>
        </w:rPr>
      </w:pPr>
      <w:r w:rsidRPr="00C37413">
        <w:rPr>
          <w:b/>
          <w:bCs/>
          <w:i/>
          <w:iCs/>
        </w:rPr>
        <w:t xml:space="preserve">Auckland-based studies </w:t>
      </w:r>
    </w:p>
    <w:p w14:paraId="2D83763E" w14:textId="5144ED71" w:rsidR="00C37413" w:rsidRDefault="00C37413" w:rsidP="00AC3D80">
      <w:pPr>
        <w:widowControl w:val="0"/>
        <w:spacing w:after="120"/>
      </w:pPr>
      <w:r>
        <w:t>Auckland-based studies and experience indicate limited understanding of the health, wellbeing and economic returns from empowering creative spaces and arts programmes.</w:t>
      </w:r>
    </w:p>
    <w:p w14:paraId="0B4238BB" w14:textId="66704F86" w:rsidR="00F34A73" w:rsidRDefault="00637C09" w:rsidP="00AC3D80">
      <w:pPr>
        <w:widowControl w:val="0"/>
        <w:spacing w:after="120"/>
        <w:rPr>
          <w:lang w:val="en-US"/>
        </w:rPr>
      </w:pPr>
      <w:r>
        <w:t>T</w:t>
      </w:r>
      <w:r w:rsidR="00F34A73" w:rsidRPr="00BB4C5F">
        <w:t xml:space="preserve">he </w:t>
      </w:r>
      <w:r w:rsidR="00F34A73">
        <w:t xml:space="preserve">2017 </w:t>
      </w:r>
      <w:r w:rsidR="00F34A73" w:rsidRPr="00BB4C5F">
        <w:t xml:space="preserve">report </w:t>
      </w:r>
      <w:r w:rsidR="00F34A73" w:rsidRPr="00BB4C5F">
        <w:rPr>
          <w:i/>
          <w:iCs/>
        </w:rPr>
        <w:t>Creative Spaces in Auckland: A Review of Inclusive Arts Organisations</w:t>
      </w:r>
      <w:r w:rsidR="00F34A73">
        <w:t xml:space="preserve">, based on sector research, found </w:t>
      </w:r>
      <w:r w:rsidR="00F34A73">
        <w:rPr>
          <w:lang w:val="en-US"/>
        </w:rPr>
        <w:t xml:space="preserve">that the value of the sector of creative spaces and arts programmes: </w:t>
      </w:r>
    </w:p>
    <w:p w14:paraId="068707AC" w14:textId="77777777" w:rsidR="00F34A73" w:rsidRPr="00E171A5" w:rsidRDefault="00F34A73" w:rsidP="00AC3D80">
      <w:pPr>
        <w:pStyle w:val="ListParagraph"/>
        <w:widowControl w:val="0"/>
        <w:numPr>
          <w:ilvl w:val="0"/>
          <w:numId w:val="1"/>
        </w:numPr>
        <w:spacing w:after="120"/>
        <w:ind w:left="567" w:hanging="567"/>
        <w:contextualSpacing w:val="0"/>
        <w:rPr>
          <w:lang w:val="en-US"/>
        </w:rPr>
      </w:pPr>
      <w:r w:rsidRPr="00E171A5">
        <w:rPr>
          <w:lang w:val="en-US"/>
        </w:rPr>
        <w:t xml:space="preserve">Is not measured and, therefore, is not valued. </w:t>
      </w:r>
    </w:p>
    <w:p w14:paraId="053E0BA2" w14:textId="77777777" w:rsidR="00F34A73" w:rsidRPr="00E171A5" w:rsidRDefault="00F34A73" w:rsidP="00AC3D80">
      <w:pPr>
        <w:pStyle w:val="ListParagraph"/>
        <w:widowControl w:val="0"/>
        <w:numPr>
          <w:ilvl w:val="0"/>
          <w:numId w:val="1"/>
        </w:numPr>
        <w:spacing w:after="120"/>
        <w:ind w:left="567" w:hanging="567"/>
        <w:contextualSpacing w:val="0"/>
        <w:rPr>
          <w:lang w:val="en-US"/>
        </w:rPr>
      </w:pPr>
      <w:r w:rsidRPr="00E171A5">
        <w:rPr>
          <w:lang w:val="en-US"/>
        </w:rPr>
        <w:t>Is overlooked for funding and investment.</w:t>
      </w:r>
    </w:p>
    <w:p w14:paraId="3850F788" w14:textId="77777777" w:rsidR="00F34A73" w:rsidRPr="00E171A5" w:rsidRDefault="00F34A73" w:rsidP="00AC3D80">
      <w:pPr>
        <w:pStyle w:val="ListParagraph"/>
        <w:widowControl w:val="0"/>
        <w:numPr>
          <w:ilvl w:val="0"/>
          <w:numId w:val="1"/>
        </w:numPr>
        <w:spacing w:after="120"/>
        <w:ind w:left="567" w:hanging="567"/>
        <w:contextualSpacing w:val="0"/>
        <w:rPr>
          <w:lang w:val="en-US"/>
        </w:rPr>
      </w:pPr>
      <w:r w:rsidRPr="00E171A5">
        <w:rPr>
          <w:lang w:val="en-US"/>
        </w:rPr>
        <w:t xml:space="preserve">Misses out on advocacy and support. </w:t>
      </w:r>
    </w:p>
    <w:p w14:paraId="1534E04B" w14:textId="197C6A1B" w:rsidR="00F34A73" w:rsidRDefault="00F34A73" w:rsidP="00021A0C">
      <w:pPr>
        <w:widowControl w:val="0"/>
        <w:spacing w:after="120"/>
      </w:pPr>
      <w:r>
        <w:t xml:space="preserve">The Auckland sector </w:t>
      </w:r>
      <w:r w:rsidR="00637C09">
        <w:t xml:space="preserve">has </w:t>
      </w:r>
      <w:r w:rsidRPr="00BB4C5F">
        <w:t xml:space="preserve">identified the need for a clear strategy for the long-term development and sustainability of creative spaces and arts </w:t>
      </w:r>
      <w:r>
        <w:t xml:space="preserve">programmes </w:t>
      </w:r>
      <w:r w:rsidRPr="00BB4C5F">
        <w:t xml:space="preserve">for people who face barriers to participation. </w:t>
      </w:r>
      <w:r>
        <w:t xml:space="preserve">This Strategic Plan responds to that need. </w:t>
      </w:r>
    </w:p>
    <w:p w14:paraId="440FD22A" w14:textId="2B5A8F78" w:rsidR="00021A0C" w:rsidRPr="00AC3D80" w:rsidRDefault="00021A0C" w:rsidP="00021A0C">
      <w:pPr>
        <w:spacing w:after="120"/>
        <w:rPr>
          <w:b/>
          <w:bCs/>
          <w:color w:val="C45911" w:themeColor="accent2" w:themeShade="BF"/>
          <w:sz w:val="28"/>
          <w:szCs w:val="28"/>
          <w:lang w:val="en-US"/>
        </w:rPr>
      </w:pPr>
      <w:r>
        <w:rPr>
          <w:b/>
          <w:bCs/>
          <w:color w:val="C45911" w:themeColor="accent2" w:themeShade="BF"/>
          <w:sz w:val="28"/>
          <w:szCs w:val="28"/>
          <w:lang w:val="en-US"/>
        </w:rPr>
        <w:t>T</w:t>
      </w:r>
      <w:r w:rsidRPr="00AC3D80">
        <w:rPr>
          <w:b/>
          <w:bCs/>
          <w:color w:val="C45911" w:themeColor="accent2" w:themeShade="BF"/>
          <w:sz w:val="28"/>
          <w:szCs w:val="28"/>
          <w:lang w:val="en-US"/>
        </w:rPr>
        <w:t xml:space="preserve">he Auckland creative spaces sector </w:t>
      </w:r>
    </w:p>
    <w:p w14:paraId="288D6674" w14:textId="2E6BF5FD" w:rsidR="00F34A73" w:rsidRPr="00BB4C5F" w:rsidRDefault="00F34A73" w:rsidP="00021A0C">
      <w:pPr>
        <w:widowControl w:val="0"/>
        <w:spacing w:after="120"/>
      </w:pPr>
      <w:r w:rsidRPr="00BB4C5F">
        <w:t xml:space="preserve">Arts Access Aotearoa </w:t>
      </w:r>
      <w:r>
        <w:t>is supported by</w:t>
      </w:r>
      <w:r w:rsidRPr="00BB4C5F">
        <w:t xml:space="preserve"> Foundation North to </w:t>
      </w:r>
      <w:r>
        <w:t xml:space="preserve">deliver the project Empowering Auckland’s Creative Spaces Sector. This provides for </w:t>
      </w:r>
      <w:r w:rsidRPr="00BB4C5F">
        <w:t xml:space="preserve">a </w:t>
      </w:r>
      <w:r>
        <w:t xml:space="preserve">Community Engagement Advisor who can implement this Strategic Plan. </w:t>
      </w:r>
      <w:r w:rsidRPr="00BB4C5F">
        <w:t xml:space="preserve">Gary Silipa can be contacted on </w:t>
      </w:r>
      <w:hyperlink r:id="rId15" w:history="1">
        <w:r w:rsidRPr="00BB4C5F">
          <w:rPr>
            <w:rStyle w:val="Hyperlink"/>
            <w:lang w:val="en-US"/>
          </w:rPr>
          <w:t>gary.silipa@artsaccess.org.nz</w:t>
        </w:r>
      </w:hyperlink>
      <w:r w:rsidRPr="00BB4C5F">
        <w:rPr>
          <w:lang w:val="en-US"/>
        </w:rPr>
        <w:t xml:space="preserve"> and 0</w:t>
      </w:r>
      <w:r w:rsidRPr="00BB4C5F">
        <w:rPr>
          <w:color w:val="000000"/>
        </w:rPr>
        <w:t xml:space="preserve">21-799-352. </w:t>
      </w:r>
    </w:p>
    <w:p w14:paraId="53A03560" w14:textId="77777777" w:rsidR="00F34A73" w:rsidRDefault="00F34A73" w:rsidP="00021A0C">
      <w:pPr>
        <w:widowControl w:val="0"/>
        <w:spacing w:after="120"/>
        <w:rPr>
          <w:lang w:val="en-US"/>
        </w:rPr>
      </w:pPr>
      <w:r>
        <w:rPr>
          <w:lang w:val="en-US"/>
        </w:rPr>
        <w:t xml:space="preserve">To date, the project has: </w:t>
      </w:r>
    </w:p>
    <w:p w14:paraId="442C776C" w14:textId="77777777" w:rsidR="00F34A73" w:rsidRPr="00CF549E" w:rsidRDefault="00F34A73" w:rsidP="00021A0C">
      <w:pPr>
        <w:pStyle w:val="ListParagraph"/>
        <w:widowControl w:val="0"/>
        <w:numPr>
          <w:ilvl w:val="0"/>
          <w:numId w:val="8"/>
        </w:numPr>
        <w:spacing w:after="120"/>
        <w:ind w:left="567" w:hanging="567"/>
        <w:contextualSpacing w:val="0"/>
        <w:rPr>
          <w:lang w:val="en-US"/>
        </w:rPr>
      </w:pPr>
      <w:r w:rsidRPr="00CF549E">
        <w:rPr>
          <w:lang w:val="en-US"/>
        </w:rPr>
        <w:t xml:space="preserve">Connected </w:t>
      </w:r>
      <w:r>
        <w:rPr>
          <w:lang w:val="en-US"/>
        </w:rPr>
        <w:t xml:space="preserve">and mapped </w:t>
      </w:r>
      <w:r w:rsidRPr="00CF549E">
        <w:rPr>
          <w:lang w:val="en-US"/>
        </w:rPr>
        <w:t>the network of creative spaces, to enable information-sharing.</w:t>
      </w:r>
    </w:p>
    <w:p w14:paraId="78EE3203" w14:textId="77777777" w:rsidR="00F34A73" w:rsidRPr="00CF549E" w:rsidRDefault="00F34A73" w:rsidP="00021A0C">
      <w:pPr>
        <w:pStyle w:val="ListParagraph"/>
        <w:widowControl w:val="0"/>
        <w:numPr>
          <w:ilvl w:val="0"/>
          <w:numId w:val="8"/>
        </w:numPr>
        <w:spacing w:after="120"/>
        <w:ind w:left="567" w:hanging="567"/>
        <w:contextualSpacing w:val="0"/>
        <w:rPr>
          <w:lang w:val="en-US"/>
        </w:rPr>
      </w:pPr>
      <w:r w:rsidRPr="00CF549E">
        <w:rPr>
          <w:lang w:val="en-US"/>
        </w:rPr>
        <w:t>Offered governance</w:t>
      </w:r>
      <w:r>
        <w:rPr>
          <w:lang w:val="en-US"/>
        </w:rPr>
        <w:t xml:space="preserve"> </w:t>
      </w:r>
      <w:r w:rsidRPr="00CF549E">
        <w:rPr>
          <w:lang w:val="en-US"/>
        </w:rPr>
        <w:t xml:space="preserve">and organisational </w:t>
      </w:r>
      <w:r>
        <w:rPr>
          <w:lang w:val="en-US"/>
        </w:rPr>
        <w:t>design advice.</w:t>
      </w:r>
    </w:p>
    <w:p w14:paraId="65019DBD" w14:textId="77777777" w:rsidR="00F34A73" w:rsidRPr="00CF549E" w:rsidRDefault="00F34A73" w:rsidP="00021A0C">
      <w:pPr>
        <w:pStyle w:val="ListParagraph"/>
        <w:widowControl w:val="0"/>
        <w:numPr>
          <w:ilvl w:val="0"/>
          <w:numId w:val="8"/>
        </w:numPr>
        <w:spacing w:after="120"/>
        <w:ind w:left="567" w:hanging="567"/>
        <w:contextualSpacing w:val="0"/>
        <w:rPr>
          <w:lang w:val="en-US"/>
        </w:rPr>
      </w:pPr>
      <w:r w:rsidRPr="00CF549E">
        <w:rPr>
          <w:lang w:val="en-US"/>
        </w:rPr>
        <w:t>Advocated to government for additional funding.</w:t>
      </w:r>
    </w:p>
    <w:p w14:paraId="0A0D5738" w14:textId="77777777" w:rsidR="00F34A73" w:rsidRPr="00CF549E" w:rsidRDefault="00F34A73" w:rsidP="00021A0C">
      <w:pPr>
        <w:pStyle w:val="ListParagraph"/>
        <w:widowControl w:val="0"/>
        <w:numPr>
          <w:ilvl w:val="0"/>
          <w:numId w:val="8"/>
        </w:numPr>
        <w:spacing w:after="120"/>
        <w:ind w:left="567" w:hanging="567"/>
        <w:contextualSpacing w:val="0"/>
        <w:rPr>
          <w:lang w:val="en-US"/>
        </w:rPr>
      </w:pPr>
      <w:r w:rsidRPr="00CF549E">
        <w:rPr>
          <w:lang w:val="en-US"/>
        </w:rPr>
        <w:t>Provided cost-effective professional website development</w:t>
      </w:r>
      <w:r>
        <w:rPr>
          <w:lang w:val="en-US"/>
        </w:rPr>
        <w:t xml:space="preserve"> and IT support</w:t>
      </w:r>
      <w:r w:rsidRPr="00CF549E">
        <w:rPr>
          <w:lang w:val="en-US"/>
        </w:rPr>
        <w:t>.</w:t>
      </w:r>
    </w:p>
    <w:p w14:paraId="3CD7C6FA" w14:textId="2C50BF59" w:rsidR="00F34A73" w:rsidRDefault="00F34A73" w:rsidP="00021A0C">
      <w:pPr>
        <w:pStyle w:val="ListParagraph"/>
        <w:widowControl w:val="0"/>
        <w:numPr>
          <w:ilvl w:val="0"/>
          <w:numId w:val="8"/>
        </w:numPr>
        <w:spacing w:after="120"/>
        <w:ind w:left="567" w:hanging="567"/>
        <w:contextualSpacing w:val="0"/>
        <w:rPr>
          <w:lang w:val="en-US"/>
        </w:rPr>
      </w:pPr>
      <w:r>
        <w:rPr>
          <w:lang w:val="en-US"/>
        </w:rPr>
        <w:t>Provided p</w:t>
      </w:r>
      <w:r w:rsidRPr="00CF549E">
        <w:rPr>
          <w:lang w:val="en-US"/>
        </w:rPr>
        <w:t>romotional opportunities</w:t>
      </w:r>
      <w:r>
        <w:rPr>
          <w:lang w:val="en-US"/>
        </w:rPr>
        <w:t xml:space="preserve">. </w:t>
      </w:r>
    </w:p>
    <w:p w14:paraId="356B410C" w14:textId="6ED41EBE" w:rsidR="00F34A73" w:rsidRPr="00B93BD6" w:rsidRDefault="00F34A73" w:rsidP="00F34A73">
      <w:pPr>
        <w:widowControl w:val="0"/>
        <w:spacing w:after="80"/>
        <w:rPr>
          <w:b/>
          <w:bCs/>
          <w:i/>
          <w:iCs/>
          <w:lang w:val="en-US"/>
        </w:rPr>
      </w:pPr>
      <w:r>
        <w:t>F</w:t>
      </w:r>
      <w:r w:rsidRPr="000A723F">
        <w:t>acts about the creative spaces and arts programmes</w:t>
      </w:r>
      <w:r w:rsidR="00332169">
        <w:t xml:space="preserve"> are noted below. These are taken</w:t>
      </w:r>
      <w:r>
        <w:t xml:space="preserve"> from the 2020 survey of the sector.</w:t>
      </w:r>
      <w:r w:rsidRPr="000A723F">
        <w:t xml:space="preserve"> </w:t>
      </w:r>
    </w:p>
    <w:p w14:paraId="6EAB2AC5" w14:textId="5AAC57A8" w:rsidR="00F34A73" w:rsidRPr="00021A0C" w:rsidRDefault="00332169" w:rsidP="00F34A73">
      <w:pPr>
        <w:widowControl w:val="0"/>
        <w:spacing w:after="80"/>
        <w:rPr>
          <w:b/>
          <w:bCs/>
          <w:i/>
          <w:iCs/>
        </w:rPr>
      </w:pPr>
      <w:r>
        <w:rPr>
          <w:b/>
          <w:bCs/>
          <w:i/>
          <w:iCs/>
        </w:rPr>
        <w:br w:type="column"/>
      </w:r>
      <w:r w:rsidR="00F34A73" w:rsidRPr="00021A0C">
        <w:rPr>
          <w:b/>
          <w:bCs/>
          <w:i/>
          <w:iCs/>
        </w:rPr>
        <w:t xml:space="preserve">Services </w:t>
      </w:r>
    </w:p>
    <w:p w14:paraId="3794B75C" w14:textId="77777777" w:rsidR="00F34A73" w:rsidRDefault="00F34A73" w:rsidP="00F34A73">
      <w:pPr>
        <w:widowControl w:val="0"/>
        <w:spacing w:after="80"/>
      </w:pPr>
      <w:r>
        <w:t xml:space="preserve">Of the 19 services that responded to the question about the type of their service, 79 percent were creative spaces (CS) with the remainder delivering arts programmes (AP). </w:t>
      </w:r>
    </w:p>
    <w:p w14:paraId="5F4B1E8F" w14:textId="77777777" w:rsidR="00F34A73" w:rsidRPr="00332169" w:rsidRDefault="00F34A73" w:rsidP="00F34A73">
      <w:pPr>
        <w:widowControl w:val="0"/>
        <w:spacing w:after="80"/>
        <w:rPr>
          <w:b/>
          <w:bCs/>
          <w:i/>
          <w:iCs/>
        </w:rPr>
      </w:pPr>
      <w:r w:rsidRPr="00332169">
        <w:rPr>
          <w:b/>
          <w:bCs/>
          <w:i/>
          <w:iCs/>
        </w:rPr>
        <w:t xml:space="preserve">Participants </w:t>
      </w:r>
    </w:p>
    <w:p w14:paraId="5FE0417E" w14:textId="77777777" w:rsidR="00F34A73" w:rsidRPr="00526533" w:rsidRDefault="00F34A73" w:rsidP="00F34A73">
      <w:pPr>
        <w:widowControl w:val="0"/>
        <w:spacing w:after="80"/>
      </w:pPr>
      <w:r w:rsidRPr="00526533">
        <w:t>We know from the Ministry for Culture and Heritage’s 2019 survey that the number of participants per service ranges between 10 and 1,055, at an average of 179 clients per service. Half of all services work with between 51 and 200 participants.</w:t>
      </w:r>
    </w:p>
    <w:p w14:paraId="393D6E0B" w14:textId="77777777" w:rsidR="00F34A73" w:rsidRPr="00A635D4" w:rsidRDefault="00F34A73" w:rsidP="00F34A73">
      <w:pPr>
        <w:spacing w:after="80"/>
      </w:pPr>
      <w:r>
        <w:t xml:space="preserve">Seven respondents to this 2020 survey also provided data about the numbers of participants each year in their creative space or art programme. These responses confirmed the diversity in their services. </w:t>
      </w:r>
      <w:r w:rsidRPr="0082290B">
        <w:t xml:space="preserve">One had about 25 participants </w:t>
      </w:r>
      <w:r>
        <w:t>per annum</w:t>
      </w:r>
      <w:r w:rsidRPr="0082290B">
        <w:t xml:space="preserve"> while </w:t>
      </w:r>
      <w:r>
        <w:t>f</w:t>
      </w:r>
      <w:r w:rsidRPr="0082290B">
        <w:t xml:space="preserve">our had between 205 and 297 participants </w:t>
      </w:r>
      <w:r>
        <w:t>per annum</w:t>
      </w:r>
      <w:r w:rsidRPr="0082290B">
        <w:t>.</w:t>
      </w:r>
      <w:r>
        <w:t xml:space="preserve"> </w:t>
      </w:r>
      <w:r w:rsidRPr="00A635D4">
        <w:t>One creative space had about 400 participants p</w:t>
      </w:r>
      <w:r>
        <w:t>er annum</w:t>
      </w:r>
      <w:r w:rsidRPr="00A635D4">
        <w:t>; 15 percent of which were new. The seventh respondent noted that it had about 520 participants per month</w:t>
      </w:r>
      <w:r w:rsidRPr="00A635D4">
        <w:rPr>
          <w:b/>
          <w:bCs/>
        </w:rPr>
        <w:t>,</w:t>
      </w:r>
      <w:r w:rsidRPr="00A635D4">
        <w:t xml:space="preserve"> with 524 new participants in the last year.</w:t>
      </w:r>
    </w:p>
    <w:p w14:paraId="04B36BB9" w14:textId="77777777" w:rsidR="00F34A73" w:rsidRDefault="00F34A73" w:rsidP="00F34A73">
      <w:pPr>
        <w:widowControl w:val="0"/>
        <w:spacing w:after="80"/>
      </w:pPr>
      <w:r>
        <w:t>The most common characteristics of participants at creative spaces and arts programmes in Auckland are mental ill-health and poverty, as shown in the graph below.</w:t>
      </w:r>
    </w:p>
    <w:p w14:paraId="723855DF" w14:textId="77777777" w:rsidR="00F34A73" w:rsidRPr="009019A4" w:rsidRDefault="00F34A73" w:rsidP="00F34A73">
      <w:pPr>
        <w:widowControl w:val="0"/>
        <w:spacing w:after="80"/>
        <w:rPr>
          <w:i/>
          <w:iCs/>
        </w:rPr>
      </w:pPr>
      <w:r w:rsidRPr="009019A4">
        <w:rPr>
          <w:i/>
          <w:iCs/>
        </w:rPr>
        <w:t>Graph 1: Participants in creative spaces and art programmes and their disadvantage</w:t>
      </w:r>
      <w:r>
        <w:rPr>
          <w:i/>
          <w:iCs/>
        </w:rPr>
        <w:t>s</w:t>
      </w:r>
    </w:p>
    <w:p w14:paraId="764338A8" w14:textId="77777777" w:rsidR="00F34A73" w:rsidRDefault="00F34A73" w:rsidP="00F34A73">
      <w:pPr>
        <w:widowControl w:val="0"/>
        <w:spacing w:after="120"/>
      </w:pPr>
      <w:r>
        <w:rPr>
          <w:noProof/>
        </w:rPr>
        <w:drawing>
          <wp:inline distT="0" distB="0" distL="0" distR="0" wp14:anchorId="0E0D9639" wp14:editId="3A48C061">
            <wp:extent cx="5676900" cy="3400425"/>
            <wp:effectExtent l="0" t="0" r="0" b="9525"/>
            <wp:docPr id="14" name="Chart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E16D8F" w14:textId="77777777" w:rsidR="00F34A73" w:rsidRPr="00332169" w:rsidRDefault="00F34A73" w:rsidP="00F34A73">
      <w:pPr>
        <w:widowControl w:val="0"/>
        <w:spacing w:after="120"/>
        <w:rPr>
          <w:b/>
          <w:bCs/>
          <w:i/>
          <w:iCs/>
          <w:lang w:val="en-US"/>
        </w:rPr>
      </w:pPr>
      <w:r>
        <w:rPr>
          <w:b/>
          <w:bCs/>
          <w:i/>
          <w:iCs/>
          <w:color w:val="538135" w:themeColor="accent6" w:themeShade="BF"/>
          <w:sz w:val="28"/>
          <w:szCs w:val="28"/>
          <w:lang w:val="en-US"/>
        </w:rPr>
        <w:br w:type="column"/>
      </w:r>
      <w:r w:rsidRPr="00332169">
        <w:rPr>
          <w:b/>
          <w:bCs/>
          <w:i/>
          <w:iCs/>
          <w:lang w:val="en-US"/>
        </w:rPr>
        <w:t xml:space="preserve">Funding </w:t>
      </w:r>
    </w:p>
    <w:p w14:paraId="6234C969" w14:textId="77777777" w:rsidR="00F34A73" w:rsidRDefault="00F34A73" w:rsidP="00F34A73">
      <w:pPr>
        <w:widowControl w:val="0"/>
        <w:spacing w:after="120"/>
      </w:pPr>
      <w:r>
        <w:rPr>
          <w:lang w:val="en-US"/>
        </w:rPr>
        <w:t xml:space="preserve">Half of the organisations provided their services with an operating budget of less than $100,000 over the last 12 months (Graph 2 refers). </w:t>
      </w:r>
      <w:r>
        <w:t>This 50 percent is made up of:</w:t>
      </w:r>
    </w:p>
    <w:p w14:paraId="1E1F9F68" w14:textId="77777777" w:rsidR="00F34A73" w:rsidRPr="00EF2636" w:rsidRDefault="00F34A73" w:rsidP="00A02BD6">
      <w:pPr>
        <w:pStyle w:val="ListParagraph"/>
        <w:widowControl w:val="0"/>
        <w:numPr>
          <w:ilvl w:val="0"/>
          <w:numId w:val="12"/>
        </w:numPr>
        <w:spacing w:after="120"/>
        <w:ind w:left="357" w:hanging="357"/>
        <w:contextualSpacing w:val="0"/>
      </w:pPr>
      <w:r w:rsidRPr="00EF2636">
        <w:t xml:space="preserve">33 percent </w:t>
      </w:r>
      <w:r>
        <w:t>with</w:t>
      </w:r>
      <w:r w:rsidRPr="00EF2636">
        <w:t xml:space="preserve"> less than $50,00</w:t>
      </w:r>
      <w:r>
        <w:t>; and</w:t>
      </w:r>
      <w:r w:rsidRPr="00EF2636">
        <w:t xml:space="preserve"> </w:t>
      </w:r>
    </w:p>
    <w:p w14:paraId="3E331F97" w14:textId="77777777" w:rsidR="00F34A73" w:rsidRPr="00EF2636" w:rsidRDefault="00F34A73" w:rsidP="00A02BD6">
      <w:pPr>
        <w:pStyle w:val="ListParagraph"/>
        <w:widowControl w:val="0"/>
        <w:numPr>
          <w:ilvl w:val="0"/>
          <w:numId w:val="12"/>
        </w:numPr>
        <w:spacing w:after="120"/>
        <w:ind w:left="357" w:hanging="357"/>
        <w:contextualSpacing w:val="0"/>
      </w:pPr>
      <w:r w:rsidRPr="00EF2636">
        <w:t xml:space="preserve">17 percent </w:t>
      </w:r>
      <w:r>
        <w:t>with</w:t>
      </w:r>
      <w:r w:rsidRPr="00EF2636">
        <w:t xml:space="preserve"> between $50,000 and $99,000 per annum. </w:t>
      </w:r>
    </w:p>
    <w:p w14:paraId="4A4FB048" w14:textId="77777777" w:rsidR="00F34A73" w:rsidRPr="0000338D" w:rsidRDefault="00F34A73" w:rsidP="00F34A73">
      <w:pPr>
        <w:widowControl w:val="0"/>
        <w:spacing w:after="120"/>
        <w:rPr>
          <w:i/>
          <w:iCs/>
          <w:lang w:val="en-US"/>
        </w:rPr>
      </w:pPr>
      <w:r w:rsidRPr="0000338D">
        <w:rPr>
          <w:i/>
          <w:iCs/>
          <w:lang w:val="en-US"/>
        </w:rPr>
        <w:t xml:space="preserve">Graph 2: </w:t>
      </w:r>
      <w:r>
        <w:rPr>
          <w:i/>
          <w:iCs/>
          <w:lang w:val="en-US"/>
        </w:rPr>
        <w:t xml:space="preserve">Funding of creative spaces and art programmes in last 12 months </w:t>
      </w:r>
    </w:p>
    <w:p w14:paraId="6E2A9E7C" w14:textId="77777777" w:rsidR="00F34A73" w:rsidRDefault="00F34A73" w:rsidP="00F34A73">
      <w:pPr>
        <w:widowControl w:val="0"/>
        <w:spacing w:after="120"/>
        <w:rPr>
          <w:lang w:val="en-US"/>
        </w:rPr>
      </w:pPr>
      <w:r>
        <w:rPr>
          <w:noProof/>
        </w:rPr>
        <w:drawing>
          <wp:inline distT="0" distB="0" distL="0" distR="0" wp14:anchorId="14092182" wp14:editId="3D572AA7">
            <wp:extent cx="5577840" cy="2301240"/>
            <wp:effectExtent l="0" t="0" r="3810" b="3810"/>
            <wp:docPr id="7" name="Chart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0EDD33" w14:textId="77777777" w:rsidR="00F34A73" w:rsidRDefault="00F34A73" w:rsidP="00F34A73">
      <w:pPr>
        <w:widowControl w:val="0"/>
        <w:spacing w:before="240" w:after="120"/>
      </w:pPr>
      <w:r>
        <w:t xml:space="preserve">When the amount of funding is correlated against the source of funding, significant diversity is evident. </w:t>
      </w:r>
    </w:p>
    <w:p w14:paraId="7948EBEE" w14:textId="77777777" w:rsidR="00F34A73" w:rsidRDefault="00F34A73" w:rsidP="00F34A73">
      <w:pPr>
        <w:widowControl w:val="0"/>
        <w:spacing w:after="120"/>
      </w:pPr>
      <w:r>
        <w:t xml:space="preserve">The respondents mostly make up their funding in small amounts from multiple sources. This also reflects current silos at central and local government levels between funding for reasons of health, social welfare, or culture. </w:t>
      </w:r>
    </w:p>
    <w:p w14:paraId="7D8FF3C8" w14:textId="77777777" w:rsidR="00F34A73" w:rsidRDefault="00F34A73" w:rsidP="00F34A73">
      <w:pPr>
        <w:widowControl w:val="0"/>
        <w:spacing w:after="120"/>
      </w:pPr>
      <w:r>
        <w:t xml:space="preserve">The respondents with more revenue, compared with those with less revenue, are more likely to charge for their services, or receive revenue from philanthropic entities, donations, and fundraising. </w:t>
      </w:r>
    </w:p>
    <w:p w14:paraId="16883645" w14:textId="77777777" w:rsidR="00F34A73" w:rsidRPr="00332169" w:rsidRDefault="00F34A73" w:rsidP="00F34A73">
      <w:pPr>
        <w:widowControl w:val="0"/>
        <w:spacing w:after="120"/>
        <w:rPr>
          <w:b/>
          <w:bCs/>
          <w:i/>
          <w:iCs/>
        </w:rPr>
      </w:pPr>
      <w:r w:rsidRPr="00332169">
        <w:rPr>
          <w:b/>
          <w:bCs/>
          <w:i/>
          <w:iCs/>
        </w:rPr>
        <w:t>Locations &amp; outreach</w:t>
      </w:r>
    </w:p>
    <w:p w14:paraId="0296BD3A" w14:textId="77777777" w:rsidR="00F34A73" w:rsidRDefault="00F34A73" w:rsidP="00F34A73">
      <w:pPr>
        <w:widowControl w:val="0"/>
        <w:spacing w:after="120"/>
      </w:pPr>
      <w:r w:rsidRPr="00661637">
        <w:t xml:space="preserve">Local </w:t>
      </w:r>
      <w:r>
        <w:t>wards in which services operate are shown in Graph 3, below, with half of all respondents serving more than one location.</w:t>
      </w:r>
    </w:p>
    <w:p w14:paraId="6BE60A79" w14:textId="77777777" w:rsidR="00F34A73" w:rsidRPr="003E23B6" w:rsidRDefault="00F34A73" w:rsidP="00F34A73">
      <w:pPr>
        <w:widowControl w:val="0"/>
        <w:spacing w:after="120"/>
      </w:pPr>
      <w:r w:rsidRPr="003E23B6">
        <w:t>The wards best-served by creative spaces and art programmes (by 45 to 50 percent of respondents) include Albert-Eden (medium socio-economic area), Henderson-Massy (low to medium socio-economic area), and Maungakiekie-Tāmaki (low to medium socio-economic pockets).</w:t>
      </w:r>
      <w:r>
        <w:rPr>
          <w:rStyle w:val="FootnoteReference"/>
        </w:rPr>
        <w:footnoteReference w:id="2"/>
      </w:r>
    </w:p>
    <w:p w14:paraId="732CAAD5" w14:textId="77777777" w:rsidR="00F34A73" w:rsidRPr="00EE797D" w:rsidRDefault="00F34A73" w:rsidP="00F34A73">
      <w:pPr>
        <w:widowControl w:val="0"/>
        <w:spacing w:after="120"/>
      </w:pPr>
      <w:r w:rsidRPr="00EE797D">
        <w:t xml:space="preserve">Lower socio-economic areas such as Māngere-Ōtāhuhu, Manurewa, Ōtara-Papatoetoe are served by 30 percent of the respondents; while Puketapapa and Papakura are served by 20 percent and 15 percent, respectively. </w:t>
      </w:r>
    </w:p>
    <w:p w14:paraId="13A2AD49" w14:textId="77777777" w:rsidR="00F34A73" w:rsidRDefault="00F34A73" w:rsidP="00F34A73">
      <w:pPr>
        <w:widowControl w:val="0"/>
        <w:spacing w:after="120"/>
        <w:rPr>
          <w:i/>
          <w:iCs/>
        </w:rPr>
      </w:pPr>
      <w:r>
        <w:rPr>
          <w:i/>
          <w:iCs/>
        </w:rPr>
        <w:br w:type="column"/>
      </w:r>
      <w:r w:rsidRPr="0000338D">
        <w:rPr>
          <w:i/>
          <w:iCs/>
        </w:rPr>
        <w:t xml:space="preserve">Graph 3: Locations </w:t>
      </w:r>
      <w:r>
        <w:rPr>
          <w:i/>
          <w:iCs/>
        </w:rPr>
        <w:t xml:space="preserve">in which creative spaces and art programmes operate </w:t>
      </w:r>
    </w:p>
    <w:p w14:paraId="62DE7F64" w14:textId="77777777" w:rsidR="00F34A73" w:rsidRDefault="00F34A73" w:rsidP="00F34A73">
      <w:pPr>
        <w:widowControl w:val="0"/>
        <w:spacing w:before="240" w:after="120"/>
      </w:pPr>
      <w:r>
        <w:rPr>
          <w:noProof/>
        </w:rPr>
        <w:drawing>
          <wp:inline distT="0" distB="0" distL="0" distR="0" wp14:anchorId="540C2BDF" wp14:editId="71FBF6BB">
            <wp:extent cx="5722620" cy="3703320"/>
            <wp:effectExtent l="0" t="0" r="11430" b="11430"/>
            <wp:docPr id="11" name="Chart 1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A102C" w14:textId="77777777" w:rsidR="00F34A73" w:rsidRDefault="00F34A73" w:rsidP="00F34A73">
      <w:pPr>
        <w:widowControl w:val="0"/>
        <w:rPr>
          <w:color w:val="0070C0"/>
          <w:lang w:val="en-US"/>
        </w:rPr>
      </w:pPr>
    </w:p>
    <w:p w14:paraId="3EDB3097" w14:textId="77777777" w:rsidR="00F34A73" w:rsidRDefault="00F34A73" w:rsidP="00F34A73">
      <w:pPr>
        <w:spacing w:after="120" w:line="257" w:lineRule="auto"/>
      </w:pPr>
      <w:r w:rsidRPr="00FE3672">
        <w:t xml:space="preserve">Seven respondents provided information about outreach. </w:t>
      </w:r>
      <w:r>
        <w:t>Of these, four provided formal outreach programmes:</w:t>
      </w:r>
    </w:p>
    <w:p w14:paraId="79E3EB11" w14:textId="77777777" w:rsidR="00F34A73" w:rsidRDefault="00F34A73" w:rsidP="00A02BD6">
      <w:pPr>
        <w:pStyle w:val="ListParagraph"/>
        <w:numPr>
          <w:ilvl w:val="0"/>
          <w:numId w:val="14"/>
        </w:numPr>
        <w:spacing w:after="120" w:line="257" w:lineRule="auto"/>
        <w:ind w:left="357" w:hanging="357"/>
        <w:contextualSpacing w:val="0"/>
      </w:pPr>
      <w:r>
        <w:t xml:space="preserve">Outreach programmes are generally similar to the main programmes offered by the services; sometimes offered in partnerships with schools, hospitals, elder care and other services. </w:t>
      </w:r>
    </w:p>
    <w:p w14:paraId="37BDDFB1" w14:textId="77777777" w:rsidR="00F34A73" w:rsidRDefault="00F34A73" w:rsidP="00A02BD6">
      <w:pPr>
        <w:pStyle w:val="ListParagraph"/>
        <w:numPr>
          <w:ilvl w:val="0"/>
          <w:numId w:val="14"/>
        </w:numPr>
        <w:spacing w:after="120" w:line="257" w:lineRule="auto"/>
        <w:ind w:left="357" w:hanging="357"/>
        <w:contextualSpacing w:val="0"/>
      </w:pPr>
      <w:r w:rsidRPr="00992ABF">
        <w:t>Outreach is offered between 2 and 5 days per week</w:t>
      </w:r>
      <w:r>
        <w:t xml:space="preserve">, depending on the service, </w:t>
      </w:r>
      <w:r w:rsidRPr="00992ABF">
        <w:t>and reache</w:t>
      </w:r>
      <w:r>
        <w:t xml:space="preserve">s </w:t>
      </w:r>
      <w:r w:rsidRPr="00992ABF">
        <w:t xml:space="preserve">between 10 and 50 participants </w:t>
      </w:r>
      <w:r>
        <w:t>per programme/</w:t>
      </w:r>
      <w:r w:rsidRPr="00992ABF">
        <w:t xml:space="preserve">session. One large service reached over 320 each month through its outreach. </w:t>
      </w:r>
    </w:p>
    <w:p w14:paraId="0A3B4E2A" w14:textId="77777777" w:rsidR="00F34A73" w:rsidRPr="008810FC" w:rsidRDefault="00F34A73" w:rsidP="00F34A73">
      <w:pPr>
        <w:spacing w:after="120" w:line="257" w:lineRule="auto"/>
      </w:pPr>
      <w:r>
        <w:t xml:space="preserve">One service noted that it would love to offer outreach programmes but would require additional funding to do so. It recognises the demand for its services and has a programme that would ‘travel well’. </w:t>
      </w:r>
    </w:p>
    <w:p w14:paraId="203251F7" w14:textId="77777777" w:rsidR="00F34A73" w:rsidRPr="00C340A1" w:rsidRDefault="00F34A73" w:rsidP="00F34A73">
      <w:pPr>
        <w:widowControl w:val="0"/>
        <w:rPr>
          <w:color w:val="0070C0"/>
          <w:lang w:val="en-US"/>
        </w:rPr>
      </w:pPr>
    </w:p>
    <w:p w14:paraId="457F26C1" w14:textId="5E96B6DD" w:rsidR="00F34A73" w:rsidRPr="0021290F" w:rsidRDefault="00F34A73" w:rsidP="005975FD">
      <w:pPr>
        <w:pStyle w:val="Heading1"/>
        <w:keepNext w:val="0"/>
        <w:keepLines w:val="0"/>
        <w:widowControl w:val="0"/>
        <w:pBdr>
          <w:bottom w:val="single" w:sz="4" w:space="1" w:color="auto"/>
        </w:pBdr>
        <w:spacing w:before="120" w:after="120" w:line="276" w:lineRule="auto"/>
        <w:rPr>
          <w:rFonts w:ascii="Century Gothic" w:hAnsi="Century Gothic"/>
          <w:color w:val="C45911" w:themeColor="accent2" w:themeShade="BF"/>
          <w:sz w:val="32"/>
          <w:szCs w:val="32"/>
          <w:lang w:val="en-US"/>
        </w:rPr>
      </w:pPr>
      <w:r>
        <w:rPr>
          <w:rFonts w:ascii="Century Gothic" w:hAnsi="Century Gothic"/>
          <w:color w:val="538135" w:themeColor="accent6" w:themeShade="BF"/>
          <w:sz w:val="32"/>
          <w:szCs w:val="32"/>
          <w:lang w:val="en-US"/>
        </w:rPr>
        <w:br w:type="column"/>
      </w:r>
      <w:bookmarkStart w:id="6" w:name="_Toc54711599"/>
      <w:bookmarkStart w:id="7" w:name="_Toc54870897"/>
      <w:r w:rsidRPr="00EC3C40">
        <w:rPr>
          <w:rFonts w:ascii="Century Gothic" w:hAnsi="Century Gothic"/>
          <w:color w:val="B23B0F"/>
          <w:sz w:val="32"/>
          <w:szCs w:val="32"/>
          <w:lang w:val="en-US"/>
        </w:rPr>
        <w:t>Needs and opportunities for Auckland’s creative spaces</w:t>
      </w:r>
      <w:bookmarkEnd w:id="6"/>
      <w:bookmarkEnd w:id="7"/>
    </w:p>
    <w:p w14:paraId="39FE9288" w14:textId="08CA53C3" w:rsidR="00F34A73" w:rsidRDefault="00F34A73" w:rsidP="00F34A73">
      <w:pPr>
        <w:widowControl w:val="0"/>
        <w:spacing w:before="240" w:after="120"/>
        <w:rPr>
          <w:lang w:val="en-US"/>
        </w:rPr>
      </w:pPr>
      <w:r>
        <w:rPr>
          <w:lang w:val="en-US"/>
        </w:rPr>
        <w:t xml:space="preserve">To be able to understand the diverse and complex needs of, and opportunities for, Auckland’s sector of creative spaces and arts programmes, we first conducted a survey. The </w:t>
      </w:r>
      <w:r w:rsidR="006D34D4">
        <w:rPr>
          <w:lang w:val="en-US"/>
        </w:rPr>
        <w:t>research</w:t>
      </w:r>
      <w:r w:rsidR="00F66D99">
        <w:rPr>
          <w:lang w:val="en-US"/>
        </w:rPr>
        <w:t xml:space="preserve"> identified seven themes</w:t>
      </w:r>
      <w:r w:rsidR="00E0061E">
        <w:rPr>
          <w:lang w:val="en-US"/>
        </w:rPr>
        <w:t xml:space="preserve">, </w:t>
      </w:r>
      <w:r w:rsidR="00343834">
        <w:rPr>
          <w:lang w:val="en-US"/>
        </w:rPr>
        <w:t xml:space="preserve">which are </w:t>
      </w:r>
      <w:r>
        <w:rPr>
          <w:lang w:val="en-US"/>
        </w:rPr>
        <w:t xml:space="preserve">summarised </w:t>
      </w:r>
      <w:r w:rsidR="00E0061E">
        <w:rPr>
          <w:lang w:val="en-US"/>
        </w:rPr>
        <w:t>below</w:t>
      </w:r>
      <w:r>
        <w:rPr>
          <w:lang w:val="en-US"/>
        </w:rPr>
        <w:t xml:space="preserve">. </w:t>
      </w:r>
    </w:p>
    <w:tbl>
      <w:tblPr>
        <w:tblStyle w:val="TableGrid"/>
        <w:tblW w:w="0" w:type="auto"/>
        <w:tblLook w:val="04A0" w:firstRow="1" w:lastRow="0" w:firstColumn="1" w:lastColumn="0" w:noHBand="0" w:noVBand="1"/>
      </w:tblPr>
      <w:tblGrid>
        <w:gridCol w:w="2694"/>
        <w:gridCol w:w="6332"/>
      </w:tblGrid>
      <w:tr w:rsidR="00F34A73" w14:paraId="27DC74D5" w14:textId="77777777" w:rsidTr="005975FD">
        <w:trPr>
          <w:trHeight w:val="5502"/>
        </w:trPr>
        <w:tc>
          <w:tcPr>
            <w:tcW w:w="2694" w:type="dxa"/>
            <w:tcBorders>
              <w:top w:val="dashSmallGap" w:sz="4" w:space="0" w:color="auto"/>
              <w:left w:val="nil"/>
              <w:bottom w:val="dashSmallGap" w:sz="4" w:space="0" w:color="auto"/>
              <w:right w:val="dashSmallGap" w:sz="4" w:space="0" w:color="auto"/>
            </w:tcBorders>
          </w:tcPr>
          <w:p w14:paraId="76482BC4" w14:textId="77777777" w:rsidR="00F34A73" w:rsidRDefault="00F34A73" w:rsidP="00A9351A">
            <w:pPr>
              <w:widowControl w:val="0"/>
              <w:spacing w:after="40"/>
              <w:rPr>
                <w:lang w:val="en-US"/>
              </w:rPr>
            </w:pPr>
            <w:bookmarkStart w:id="8" w:name="_Hlk51338673"/>
            <w:r>
              <w:rPr>
                <w:noProof/>
              </w:rPr>
              <w:drawing>
                <wp:anchor distT="0" distB="0" distL="114300" distR="114300" simplePos="0" relativeHeight="251658242" behindDoc="0" locked="0" layoutInCell="1" allowOverlap="1" wp14:anchorId="6A355346" wp14:editId="1AC8A1A3">
                  <wp:simplePos x="0" y="0"/>
                  <wp:positionH relativeFrom="margin">
                    <wp:posOffset>-30480</wp:posOffset>
                  </wp:positionH>
                  <wp:positionV relativeFrom="margin">
                    <wp:posOffset>92710</wp:posOffset>
                  </wp:positionV>
                  <wp:extent cx="1458595" cy="866775"/>
                  <wp:effectExtent l="0" t="0" r="8255" b="9525"/>
                  <wp:wrapSquare wrapText="bothSides"/>
                  <wp:docPr id="5" name="Picture 5" descr="Good Values Of Life | Wry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Values Of Life | Wryt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859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49C3FF87" w14:textId="3F1308A7" w:rsidR="00F34A73" w:rsidRPr="006D34D4" w:rsidRDefault="00F34A73" w:rsidP="006D34D4">
            <w:pPr>
              <w:pStyle w:val="ListParagraph"/>
              <w:widowControl w:val="0"/>
              <w:numPr>
                <w:ilvl w:val="0"/>
                <w:numId w:val="15"/>
              </w:numPr>
              <w:spacing w:after="60"/>
              <w:ind w:left="357" w:hanging="357"/>
              <w:contextualSpacing w:val="0"/>
              <w:rPr>
                <w:b/>
                <w:bCs/>
                <w:lang w:val="en-US"/>
              </w:rPr>
            </w:pPr>
            <w:r w:rsidRPr="006D34D4">
              <w:rPr>
                <w:b/>
                <w:bCs/>
                <w:lang w:val="en-US"/>
              </w:rPr>
              <w:t>Recognition of value by community</w:t>
            </w:r>
            <w:r w:rsidRPr="006D34D4">
              <w:rPr>
                <w:lang w:val="en-US"/>
              </w:rPr>
              <w:t xml:space="preserve"> - </w:t>
            </w:r>
            <w:r w:rsidRPr="00BD16A1">
              <w:t xml:space="preserve">how the community views and values the sector. </w:t>
            </w:r>
          </w:p>
          <w:p w14:paraId="7F2ECBA9" w14:textId="77777777" w:rsidR="00F34A73" w:rsidRDefault="00F34A73" w:rsidP="00A02BD6">
            <w:pPr>
              <w:pStyle w:val="ListParagraph"/>
              <w:widowControl w:val="0"/>
              <w:numPr>
                <w:ilvl w:val="0"/>
                <w:numId w:val="9"/>
              </w:numPr>
              <w:spacing w:after="60"/>
              <w:contextualSpacing w:val="0"/>
              <w:rPr>
                <w:rFonts w:cs="Calibri"/>
                <w:color w:val="000000"/>
              </w:rPr>
            </w:pPr>
            <w:r w:rsidRPr="00FA0469">
              <w:rPr>
                <w:rFonts w:cs="Calibri"/>
                <w:color w:val="000000"/>
              </w:rPr>
              <w:t>Those close to the services (family, whanau, church, and the participants themselves) are positive about the value of th</w:t>
            </w:r>
            <w:r>
              <w:rPr>
                <w:rFonts w:cs="Calibri"/>
                <w:color w:val="000000"/>
              </w:rPr>
              <w:t>ose</w:t>
            </w:r>
            <w:r w:rsidRPr="00FA0469">
              <w:rPr>
                <w:rFonts w:cs="Calibri"/>
                <w:color w:val="000000"/>
              </w:rPr>
              <w:t xml:space="preserve"> service</w:t>
            </w:r>
            <w:r>
              <w:rPr>
                <w:rFonts w:cs="Calibri"/>
                <w:color w:val="000000"/>
              </w:rPr>
              <w:t>s</w:t>
            </w:r>
            <w:r w:rsidRPr="00FA0469">
              <w:rPr>
                <w:rFonts w:cs="Calibri"/>
                <w:color w:val="000000"/>
              </w:rPr>
              <w:t>, but the reach of the services is limited</w:t>
            </w:r>
            <w:r>
              <w:rPr>
                <w:rFonts w:cs="Calibri"/>
                <w:color w:val="000000"/>
              </w:rPr>
              <w:t xml:space="preserve"> due to the limitations of funding.</w:t>
            </w:r>
          </w:p>
          <w:p w14:paraId="414808A2" w14:textId="77777777" w:rsidR="00F34A73" w:rsidRPr="00FA0469" w:rsidRDefault="00F34A73" w:rsidP="00A02BD6">
            <w:pPr>
              <w:pStyle w:val="ListParagraph"/>
              <w:widowControl w:val="0"/>
              <w:numPr>
                <w:ilvl w:val="0"/>
                <w:numId w:val="9"/>
              </w:numPr>
              <w:spacing w:after="60"/>
              <w:contextualSpacing w:val="0"/>
              <w:rPr>
                <w:rFonts w:cs="Calibri"/>
                <w:color w:val="000000"/>
              </w:rPr>
            </w:pPr>
            <w:r>
              <w:rPr>
                <w:rFonts w:cs="Calibri"/>
                <w:color w:val="000000"/>
              </w:rPr>
              <w:t xml:space="preserve">In some situations, there is the opportunity for relationships to be strengthened between the services and the communities in which they operate. </w:t>
            </w:r>
          </w:p>
          <w:p w14:paraId="037FFA9C" w14:textId="77777777" w:rsidR="00F34A73" w:rsidRPr="00F52812" w:rsidRDefault="00F34A73" w:rsidP="00A02BD6">
            <w:pPr>
              <w:pStyle w:val="ListParagraph"/>
              <w:widowControl w:val="0"/>
              <w:numPr>
                <w:ilvl w:val="0"/>
                <w:numId w:val="9"/>
              </w:numPr>
              <w:spacing w:after="60"/>
              <w:contextualSpacing w:val="0"/>
              <w:rPr>
                <w:lang w:val="en-US"/>
              </w:rPr>
            </w:pPr>
            <w:r>
              <w:rPr>
                <w:rFonts w:cs="Calibri"/>
                <w:color w:val="000000"/>
              </w:rPr>
              <w:t xml:space="preserve">Perceptions of the value of the services have improved over the last 12 months due to: </w:t>
            </w:r>
          </w:p>
          <w:p w14:paraId="5FBDD849" w14:textId="77777777" w:rsidR="00F34A73" w:rsidRPr="00F52812" w:rsidRDefault="00F34A73" w:rsidP="00A02BD6">
            <w:pPr>
              <w:pStyle w:val="ListParagraph"/>
              <w:widowControl w:val="0"/>
              <w:numPr>
                <w:ilvl w:val="1"/>
                <w:numId w:val="9"/>
              </w:numPr>
              <w:spacing w:after="60"/>
              <w:ind w:left="594" w:hanging="283"/>
              <w:contextualSpacing w:val="0"/>
              <w:rPr>
                <w:lang w:val="en-US"/>
              </w:rPr>
            </w:pPr>
            <w:r>
              <w:rPr>
                <w:rFonts w:cs="Calibri"/>
                <w:color w:val="000000"/>
              </w:rPr>
              <w:t>Outreach, raising awareness, and increasing numbers of participants.</w:t>
            </w:r>
          </w:p>
          <w:p w14:paraId="111F4968" w14:textId="77777777" w:rsidR="00F34A73" w:rsidRPr="00F52812" w:rsidRDefault="00F34A73" w:rsidP="00A02BD6">
            <w:pPr>
              <w:pStyle w:val="ListParagraph"/>
              <w:widowControl w:val="0"/>
              <w:numPr>
                <w:ilvl w:val="1"/>
                <w:numId w:val="9"/>
              </w:numPr>
              <w:spacing w:after="60"/>
              <w:ind w:left="594" w:hanging="283"/>
              <w:contextualSpacing w:val="0"/>
              <w:rPr>
                <w:lang w:val="en-US"/>
              </w:rPr>
            </w:pPr>
            <w:r>
              <w:rPr>
                <w:rFonts w:cs="Calibri"/>
                <w:color w:val="000000"/>
              </w:rPr>
              <w:t>Building and reshaping the services and their focus.</w:t>
            </w:r>
          </w:p>
          <w:p w14:paraId="784FC8EF" w14:textId="77777777" w:rsidR="00F34A73" w:rsidRPr="00F52812" w:rsidRDefault="00F34A73" w:rsidP="00A02BD6">
            <w:pPr>
              <w:pStyle w:val="ListParagraph"/>
              <w:widowControl w:val="0"/>
              <w:numPr>
                <w:ilvl w:val="1"/>
                <w:numId w:val="9"/>
              </w:numPr>
              <w:spacing w:after="40"/>
              <w:ind w:left="594" w:hanging="283"/>
              <w:contextualSpacing w:val="0"/>
              <w:rPr>
                <w:lang w:val="en-US"/>
              </w:rPr>
            </w:pPr>
            <w:r>
              <w:rPr>
                <w:rFonts w:cs="Calibri"/>
                <w:color w:val="000000"/>
              </w:rPr>
              <w:t xml:space="preserve">Increased exposure due to the art produced and social outcomes being evident.    </w:t>
            </w:r>
          </w:p>
        </w:tc>
      </w:tr>
      <w:tr w:rsidR="00F34A73" w14:paraId="40CB1C82" w14:textId="77777777" w:rsidTr="00A9351A">
        <w:tc>
          <w:tcPr>
            <w:tcW w:w="2694" w:type="dxa"/>
            <w:tcBorders>
              <w:top w:val="dashSmallGap" w:sz="4" w:space="0" w:color="auto"/>
              <w:left w:val="nil"/>
              <w:bottom w:val="dashSmallGap" w:sz="4" w:space="0" w:color="auto"/>
              <w:right w:val="dashSmallGap" w:sz="4" w:space="0" w:color="auto"/>
            </w:tcBorders>
          </w:tcPr>
          <w:p w14:paraId="4F7ADA88" w14:textId="77777777" w:rsidR="00F34A73" w:rsidRDefault="00F34A73" w:rsidP="00A9351A">
            <w:pPr>
              <w:widowControl w:val="0"/>
              <w:spacing w:after="40"/>
              <w:rPr>
                <w:lang w:val="en-US"/>
              </w:rPr>
            </w:pPr>
            <w:r>
              <w:rPr>
                <w:noProof/>
              </w:rPr>
              <w:drawing>
                <wp:anchor distT="0" distB="0" distL="114300" distR="114300" simplePos="0" relativeHeight="251658246" behindDoc="0" locked="0" layoutInCell="1" allowOverlap="1" wp14:anchorId="1DEDB1B3" wp14:editId="42C6DE71">
                  <wp:simplePos x="0" y="0"/>
                  <wp:positionH relativeFrom="margin">
                    <wp:posOffset>35560</wp:posOffset>
                  </wp:positionH>
                  <wp:positionV relativeFrom="margin">
                    <wp:posOffset>62230</wp:posOffset>
                  </wp:positionV>
                  <wp:extent cx="1362075" cy="658495"/>
                  <wp:effectExtent l="0" t="0" r="0" b="8255"/>
                  <wp:wrapSquare wrapText="bothSides"/>
                  <wp:docPr id="4" name="Picture 4" descr="Value Equation | University of Utah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Equation | University of Utah Healt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07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right w:val="nil"/>
            </w:tcBorders>
          </w:tcPr>
          <w:p w14:paraId="371E745D" w14:textId="6DBCEC0F" w:rsidR="00F34A73" w:rsidRPr="00BD16A1" w:rsidRDefault="00F34A73" w:rsidP="006D34D4">
            <w:pPr>
              <w:pStyle w:val="ListParagraph"/>
              <w:widowControl w:val="0"/>
              <w:numPr>
                <w:ilvl w:val="0"/>
                <w:numId w:val="15"/>
              </w:numPr>
              <w:spacing w:after="60"/>
              <w:ind w:left="357" w:hanging="357"/>
              <w:contextualSpacing w:val="0"/>
            </w:pPr>
            <w:r w:rsidRPr="006D34D4">
              <w:rPr>
                <w:b/>
                <w:bCs/>
                <w:lang w:val="en-US"/>
              </w:rPr>
              <w:t>Recognition of value by funders</w:t>
            </w:r>
            <w:r w:rsidRPr="006D34D4">
              <w:rPr>
                <w:lang w:val="en-US"/>
              </w:rPr>
              <w:t xml:space="preserve"> - </w:t>
            </w:r>
            <w:r>
              <w:t>being valued by funders would look like this:</w:t>
            </w:r>
          </w:p>
          <w:p w14:paraId="2662EF46" w14:textId="77777777" w:rsidR="00F34A73" w:rsidRPr="00F52812" w:rsidRDefault="00F34A73" w:rsidP="00A02BD6">
            <w:pPr>
              <w:pStyle w:val="ListParagraph"/>
              <w:widowControl w:val="0"/>
              <w:numPr>
                <w:ilvl w:val="0"/>
                <w:numId w:val="9"/>
              </w:numPr>
              <w:spacing w:after="40"/>
              <w:contextualSpacing w:val="0"/>
              <w:rPr>
                <w:lang w:val="en-US"/>
              </w:rPr>
            </w:pPr>
            <w:r w:rsidRPr="00F52812">
              <w:rPr>
                <w:lang w:val="en-US"/>
              </w:rPr>
              <w:t>More and sustainable funding</w:t>
            </w:r>
            <w:r>
              <w:rPr>
                <w:lang w:val="en-US"/>
              </w:rPr>
              <w:t>.</w:t>
            </w:r>
          </w:p>
          <w:p w14:paraId="3C8221F4" w14:textId="77777777" w:rsidR="00F34A73" w:rsidRPr="00F52812" w:rsidRDefault="00F34A73" w:rsidP="00A02BD6">
            <w:pPr>
              <w:pStyle w:val="ListParagraph"/>
              <w:widowControl w:val="0"/>
              <w:numPr>
                <w:ilvl w:val="0"/>
                <w:numId w:val="9"/>
              </w:numPr>
              <w:spacing w:after="40"/>
              <w:contextualSpacing w:val="0"/>
              <w:rPr>
                <w:lang w:val="en-US"/>
              </w:rPr>
            </w:pPr>
            <w:r w:rsidRPr="00F52812">
              <w:t>More of the funding to come from government</w:t>
            </w:r>
            <w:r>
              <w:t>.</w:t>
            </w:r>
          </w:p>
          <w:p w14:paraId="675D5917" w14:textId="77777777" w:rsidR="00F34A73" w:rsidRPr="00F52812" w:rsidRDefault="00F34A73" w:rsidP="00A02BD6">
            <w:pPr>
              <w:pStyle w:val="ListParagraph"/>
              <w:widowControl w:val="0"/>
              <w:numPr>
                <w:ilvl w:val="0"/>
                <w:numId w:val="9"/>
              </w:numPr>
              <w:spacing w:after="40"/>
              <w:contextualSpacing w:val="0"/>
              <w:rPr>
                <w:lang w:val="en-US"/>
              </w:rPr>
            </w:pPr>
            <w:r w:rsidRPr="00F52812">
              <w:t>Full funding instead of part-funding</w:t>
            </w:r>
            <w:r>
              <w:t>.</w:t>
            </w:r>
          </w:p>
          <w:p w14:paraId="032FC431" w14:textId="77777777" w:rsidR="00F34A73" w:rsidRPr="00F52812" w:rsidRDefault="00F34A73" w:rsidP="00A02BD6">
            <w:pPr>
              <w:pStyle w:val="ListParagraph"/>
              <w:widowControl w:val="0"/>
              <w:numPr>
                <w:ilvl w:val="0"/>
                <w:numId w:val="9"/>
              </w:numPr>
              <w:spacing w:after="40"/>
              <w:contextualSpacing w:val="0"/>
              <w:rPr>
                <w:lang w:val="en-US"/>
              </w:rPr>
            </w:pPr>
            <w:r w:rsidRPr="00F52812">
              <w:t>Adequate wages and for adequate numbers of staff</w:t>
            </w:r>
            <w:r>
              <w:t>.</w:t>
            </w:r>
          </w:p>
          <w:p w14:paraId="5A863070" w14:textId="77777777" w:rsidR="00F34A73" w:rsidRPr="00F52812" w:rsidRDefault="00F34A73" w:rsidP="00A02BD6">
            <w:pPr>
              <w:pStyle w:val="ListParagraph"/>
              <w:widowControl w:val="0"/>
              <w:numPr>
                <w:ilvl w:val="0"/>
                <w:numId w:val="9"/>
              </w:numPr>
              <w:spacing w:after="40"/>
              <w:contextualSpacing w:val="0"/>
              <w:rPr>
                <w:lang w:val="en-US"/>
              </w:rPr>
            </w:pPr>
            <w:r w:rsidRPr="00F52812">
              <w:rPr>
                <w:lang w:val="en-US"/>
              </w:rPr>
              <w:t>Trust</w:t>
            </w:r>
            <w:r>
              <w:rPr>
                <w:lang w:val="en-US"/>
              </w:rPr>
              <w:t>.</w:t>
            </w:r>
          </w:p>
          <w:p w14:paraId="68FD3212" w14:textId="77777777" w:rsidR="00F34A73" w:rsidRPr="00F52812" w:rsidRDefault="00F34A73" w:rsidP="00A02BD6">
            <w:pPr>
              <w:pStyle w:val="ListParagraph"/>
              <w:widowControl w:val="0"/>
              <w:numPr>
                <w:ilvl w:val="0"/>
                <w:numId w:val="9"/>
              </w:numPr>
              <w:spacing w:after="40"/>
              <w:contextualSpacing w:val="0"/>
              <w:rPr>
                <w:lang w:val="en-US"/>
              </w:rPr>
            </w:pPr>
            <w:r w:rsidRPr="00F52812">
              <w:rPr>
                <w:lang w:val="en-US"/>
              </w:rPr>
              <w:t>Communication and respect</w:t>
            </w:r>
            <w:r>
              <w:rPr>
                <w:lang w:val="en-US"/>
              </w:rPr>
              <w:t>.</w:t>
            </w:r>
          </w:p>
          <w:p w14:paraId="5476D745" w14:textId="77777777" w:rsidR="00F34A73" w:rsidRPr="00F52812" w:rsidRDefault="00F34A73" w:rsidP="00A02BD6">
            <w:pPr>
              <w:pStyle w:val="ListParagraph"/>
              <w:widowControl w:val="0"/>
              <w:numPr>
                <w:ilvl w:val="0"/>
                <w:numId w:val="9"/>
              </w:numPr>
              <w:spacing w:after="40"/>
              <w:contextualSpacing w:val="0"/>
              <w:rPr>
                <w:lang w:val="en-US"/>
              </w:rPr>
            </w:pPr>
            <w:r w:rsidRPr="00F52812">
              <w:rPr>
                <w:lang w:val="en-US"/>
              </w:rPr>
              <w:t>Shared services across the network</w:t>
            </w:r>
            <w:r>
              <w:rPr>
                <w:lang w:val="en-US"/>
              </w:rPr>
              <w:t>.</w:t>
            </w:r>
          </w:p>
          <w:p w14:paraId="6E2D6022" w14:textId="77777777" w:rsidR="00F34A73" w:rsidRPr="00F52812" w:rsidRDefault="00F34A73" w:rsidP="00A02BD6">
            <w:pPr>
              <w:pStyle w:val="ListParagraph"/>
              <w:widowControl w:val="0"/>
              <w:numPr>
                <w:ilvl w:val="0"/>
                <w:numId w:val="9"/>
              </w:numPr>
              <w:spacing w:after="40"/>
              <w:contextualSpacing w:val="0"/>
              <w:rPr>
                <w:lang w:val="en-US"/>
              </w:rPr>
            </w:pPr>
            <w:r w:rsidRPr="00F52812">
              <w:t>Less organisational time (and, therefore, money) spent on applying for, and reporting on, funding</w:t>
            </w:r>
            <w:r>
              <w:t>.</w:t>
            </w:r>
          </w:p>
          <w:p w14:paraId="5DCDF209" w14:textId="5BD6A443" w:rsidR="005975FD" w:rsidRPr="005975FD" w:rsidRDefault="00F34A73" w:rsidP="00A02BD6">
            <w:pPr>
              <w:pStyle w:val="ListParagraph"/>
              <w:widowControl w:val="0"/>
              <w:numPr>
                <w:ilvl w:val="0"/>
                <w:numId w:val="9"/>
              </w:numPr>
              <w:spacing w:after="40"/>
              <w:contextualSpacing w:val="0"/>
              <w:rPr>
                <w:lang w:val="en-US"/>
              </w:rPr>
            </w:pPr>
            <w:r w:rsidRPr="00F52812">
              <w:t>Targeted funding for managerial and administrator/</w:t>
            </w:r>
            <w:r>
              <w:t xml:space="preserve"> </w:t>
            </w:r>
            <w:r w:rsidRPr="00F52812">
              <w:t>fundraising roles</w:t>
            </w:r>
            <w:r>
              <w:t>.</w:t>
            </w:r>
          </w:p>
        </w:tc>
      </w:tr>
      <w:tr w:rsidR="00F34A73" w14:paraId="6EA675CA" w14:textId="77777777" w:rsidTr="005975FD">
        <w:trPr>
          <w:trHeight w:val="7502"/>
        </w:trPr>
        <w:tc>
          <w:tcPr>
            <w:tcW w:w="2694" w:type="dxa"/>
            <w:tcBorders>
              <w:top w:val="dashSmallGap" w:sz="4" w:space="0" w:color="auto"/>
              <w:left w:val="nil"/>
              <w:bottom w:val="dashSmallGap" w:sz="4" w:space="0" w:color="auto"/>
              <w:right w:val="dashSmallGap" w:sz="4" w:space="0" w:color="auto"/>
            </w:tcBorders>
          </w:tcPr>
          <w:p w14:paraId="4B118DE1" w14:textId="77777777" w:rsidR="00F34A73" w:rsidRDefault="00F34A73" w:rsidP="00A9351A">
            <w:pPr>
              <w:widowControl w:val="0"/>
              <w:spacing w:after="40"/>
              <w:rPr>
                <w:lang w:val="en-US"/>
              </w:rPr>
            </w:pPr>
            <w:r>
              <w:rPr>
                <w:noProof/>
              </w:rPr>
              <w:drawing>
                <wp:anchor distT="0" distB="0" distL="114300" distR="114300" simplePos="0" relativeHeight="251658241" behindDoc="0" locked="0" layoutInCell="1" allowOverlap="1" wp14:anchorId="62507AA7" wp14:editId="447E3E32">
                  <wp:simplePos x="0" y="0"/>
                  <wp:positionH relativeFrom="margin">
                    <wp:posOffset>-11430</wp:posOffset>
                  </wp:positionH>
                  <wp:positionV relativeFrom="margin">
                    <wp:posOffset>107315</wp:posOffset>
                  </wp:positionV>
                  <wp:extent cx="1428750" cy="746125"/>
                  <wp:effectExtent l="0" t="0" r="0" b="0"/>
                  <wp:wrapSquare wrapText="bothSides"/>
                  <wp:docPr id="2" name="Picture 2" descr="Money Management Cash Or Crash Personal Finance - Investment - Financial  Pop Floating Window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Management Cash Or Crash Personal Finance - Investment - Financial  Pop Floating Window Transparent 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left w:val="dashSmallGap" w:sz="4" w:space="0" w:color="auto"/>
              <w:right w:val="nil"/>
            </w:tcBorders>
          </w:tcPr>
          <w:p w14:paraId="7B7CC4BB" w14:textId="55425B32" w:rsidR="00F34A73" w:rsidRPr="006D34D4" w:rsidRDefault="00F34A73" w:rsidP="006D34D4">
            <w:pPr>
              <w:pStyle w:val="ListParagraph"/>
              <w:widowControl w:val="0"/>
              <w:numPr>
                <w:ilvl w:val="0"/>
                <w:numId w:val="15"/>
              </w:numPr>
              <w:spacing w:after="60"/>
              <w:ind w:left="357" w:hanging="357"/>
              <w:contextualSpacing w:val="0"/>
              <w:rPr>
                <w:lang w:val="en-US"/>
              </w:rPr>
            </w:pPr>
            <w:r w:rsidRPr="006D34D4">
              <w:rPr>
                <w:b/>
                <w:bCs/>
              </w:rPr>
              <w:t xml:space="preserve">Funding and investment </w:t>
            </w:r>
            <w:r w:rsidRPr="00BD16A1">
              <w:t xml:space="preserve">– funding </w:t>
            </w:r>
            <w:r w:rsidRPr="006D34D4">
              <w:rPr>
                <w:lang w:val="en-US"/>
              </w:rPr>
              <w:t>needs and priorities.</w:t>
            </w:r>
          </w:p>
          <w:p w14:paraId="7C942B86" w14:textId="77777777" w:rsidR="00F34A73" w:rsidRDefault="00F34A73" w:rsidP="00A02BD6">
            <w:pPr>
              <w:pStyle w:val="ListParagraph"/>
              <w:widowControl w:val="0"/>
              <w:numPr>
                <w:ilvl w:val="0"/>
                <w:numId w:val="9"/>
              </w:numPr>
              <w:spacing w:after="40"/>
              <w:contextualSpacing w:val="0"/>
            </w:pPr>
            <w:r w:rsidRPr="00AA1DA4">
              <w:t xml:space="preserve">Research on the </w:t>
            </w:r>
            <w:r>
              <w:t xml:space="preserve">social and financial </w:t>
            </w:r>
            <w:r w:rsidRPr="00AA1DA4">
              <w:t>return</w:t>
            </w:r>
            <w:r>
              <w:t>s</w:t>
            </w:r>
            <w:r w:rsidRPr="00AA1DA4">
              <w:t xml:space="preserve"> on investment of funding the sector</w:t>
            </w:r>
            <w:r>
              <w:t xml:space="preserve"> could, alongside personal experiences of the value of creative spaces, help support compelling funding applications.</w:t>
            </w:r>
          </w:p>
          <w:p w14:paraId="5B569B9B" w14:textId="77777777" w:rsidR="00F34A73" w:rsidRPr="005C60DB" w:rsidRDefault="00F34A73" w:rsidP="00A02BD6">
            <w:pPr>
              <w:pStyle w:val="ListParagraph"/>
              <w:widowControl w:val="0"/>
              <w:numPr>
                <w:ilvl w:val="0"/>
                <w:numId w:val="9"/>
              </w:numPr>
              <w:spacing w:after="40"/>
              <w:contextualSpacing w:val="0"/>
            </w:pPr>
            <w:r>
              <w:t>T</w:t>
            </w:r>
            <w:r w:rsidRPr="005C60DB">
              <w:t xml:space="preserve">op priorities </w:t>
            </w:r>
            <w:r>
              <w:t xml:space="preserve">for funding at a macro level </w:t>
            </w:r>
            <w:r w:rsidRPr="005C60DB">
              <w:t>are:</w:t>
            </w:r>
          </w:p>
          <w:p w14:paraId="249C60C0" w14:textId="77777777" w:rsidR="00F34A73" w:rsidRPr="001B4627" w:rsidRDefault="00F34A73" w:rsidP="00A02BD6">
            <w:pPr>
              <w:pStyle w:val="ListParagraph"/>
              <w:widowControl w:val="0"/>
              <w:numPr>
                <w:ilvl w:val="1"/>
                <w:numId w:val="9"/>
              </w:numPr>
              <w:spacing w:after="40"/>
              <w:ind w:left="736" w:hanging="425"/>
              <w:contextualSpacing w:val="0"/>
            </w:pPr>
            <w:r w:rsidRPr="001B4627">
              <w:t>Certainty about long-term funding (</w:t>
            </w:r>
            <w:r>
              <w:t xml:space="preserve">for the next </w:t>
            </w:r>
            <w:r w:rsidRPr="001B4627">
              <w:t xml:space="preserve">three </w:t>
            </w:r>
            <w:r>
              <w:t>or more</w:t>
            </w:r>
            <w:r w:rsidRPr="001B4627">
              <w:t xml:space="preserve"> years)</w:t>
            </w:r>
            <w:r>
              <w:t>.</w:t>
            </w:r>
          </w:p>
          <w:p w14:paraId="1E387E9E" w14:textId="77777777" w:rsidR="00F34A73" w:rsidRPr="001B4627" w:rsidRDefault="00F34A73" w:rsidP="00A02BD6">
            <w:pPr>
              <w:pStyle w:val="ListParagraph"/>
              <w:widowControl w:val="0"/>
              <w:numPr>
                <w:ilvl w:val="1"/>
                <w:numId w:val="9"/>
              </w:numPr>
              <w:spacing w:after="40"/>
              <w:ind w:left="736" w:hanging="425"/>
              <w:contextualSpacing w:val="0"/>
            </w:pPr>
            <w:r w:rsidRPr="001B4627">
              <w:t>More operational funding rather than project-focused funding</w:t>
            </w:r>
            <w:r>
              <w:t>.</w:t>
            </w:r>
          </w:p>
          <w:p w14:paraId="785E3735" w14:textId="77777777" w:rsidR="00F34A73" w:rsidRDefault="00F34A73" w:rsidP="00A02BD6">
            <w:pPr>
              <w:pStyle w:val="ListParagraph"/>
              <w:widowControl w:val="0"/>
              <w:numPr>
                <w:ilvl w:val="1"/>
                <w:numId w:val="9"/>
              </w:numPr>
              <w:spacing w:after="40"/>
              <w:ind w:left="736" w:hanging="425"/>
              <w:contextualSpacing w:val="0"/>
            </w:pPr>
            <w:r w:rsidRPr="001B4627">
              <w:t>Flexibility about how funding can be used</w:t>
            </w:r>
          </w:p>
          <w:p w14:paraId="5178D4DA" w14:textId="77777777" w:rsidR="00F34A73" w:rsidRPr="00AA1DA4" w:rsidRDefault="00F34A73" w:rsidP="00A02BD6">
            <w:pPr>
              <w:pStyle w:val="ListParagraph"/>
              <w:widowControl w:val="0"/>
              <w:numPr>
                <w:ilvl w:val="0"/>
                <w:numId w:val="9"/>
              </w:numPr>
              <w:spacing w:after="40"/>
              <w:contextualSpacing w:val="0"/>
            </w:pPr>
            <w:r>
              <w:t>Any additional funding, were it to become available, would likely focus on these priorities:</w:t>
            </w:r>
          </w:p>
          <w:p w14:paraId="238A9EEA" w14:textId="77777777" w:rsidR="00F34A73" w:rsidRPr="005C60DB" w:rsidRDefault="00F34A73" w:rsidP="00A02BD6">
            <w:pPr>
              <w:pStyle w:val="ListParagraph"/>
              <w:widowControl w:val="0"/>
              <w:numPr>
                <w:ilvl w:val="1"/>
                <w:numId w:val="9"/>
              </w:numPr>
              <w:spacing w:after="40"/>
              <w:ind w:left="736" w:hanging="425"/>
              <w:contextualSpacing w:val="0"/>
            </w:pPr>
            <w:r>
              <w:t>Workforce issues – staff attraction, retention, and succession management (through p</w:t>
            </w:r>
            <w:r w:rsidRPr="005C60DB">
              <w:t>aying existing staff more</w:t>
            </w:r>
            <w:r>
              <w:t>; hiring additional staff; professional development).</w:t>
            </w:r>
          </w:p>
          <w:p w14:paraId="17FF4A2E" w14:textId="77777777" w:rsidR="00F34A73" w:rsidRPr="005C60DB" w:rsidRDefault="00F34A73" w:rsidP="00A02BD6">
            <w:pPr>
              <w:pStyle w:val="ListParagraph"/>
              <w:widowControl w:val="0"/>
              <w:numPr>
                <w:ilvl w:val="1"/>
                <w:numId w:val="9"/>
              </w:numPr>
              <w:spacing w:after="40"/>
              <w:ind w:left="736" w:hanging="425"/>
              <w:contextualSpacing w:val="0"/>
            </w:pPr>
            <w:r w:rsidRPr="005C60DB">
              <w:t>Outreach</w:t>
            </w:r>
            <w:r>
              <w:t xml:space="preserve">, </w:t>
            </w:r>
            <w:r w:rsidRPr="005C60DB">
              <w:t>community engagement</w:t>
            </w:r>
            <w:r>
              <w:t>, and marketing</w:t>
            </w:r>
            <w:r w:rsidRPr="005C60DB">
              <w:t>.</w:t>
            </w:r>
          </w:p>
          <w:p w14:paraId="37CD9204" w14:textId="77777777" w:rsidR="00F34A73" w:rsidRPr="005C60DB" w:rsidRDefault="00F34A73" w:rsidP="00A02BD6">
            <w:pPr>
              <w:pStyle w:val="ListParagraph"/>
              <w:widowControl w:val="0"/>
              <w:numPr>
                <w:ilvl w:val="1"/>
                <w:numId w:val="9"/>
              </w:numPr>
              <w:spacing w:after="40"/>
              <w:ind w:left="736" w:hanging="425"/>
              <w:contextualSpacing w:val="0"/>
            </w:pPr>
            <w:r w:rsidRPr="005C60DB">
              <w:t>More or different types of services.</w:t>
            </w:r>
          </w:p>
          <w:p w14:paraId="64676BFB" w14:textId="77777777" w:rsidR="00F34A73" w:rsidRPr="005C60DB" w:rsidRDefault="00F34A73" w:rsidP="00A02BD6">
            <w:pPr>
              <w:pStyle w:val="ListParagraph"/>
              <w:widowControl w:val="0"/>
              <w:numPr>
                <w:ilvl w:val="0"/>
                <w:numId w:val="9"/>
              </w:numPr>
              <w:spacing w:after="40"/>
              <w:contextualSpacing w:val="0"/>
            </w:pPr>
            <w:r w:rsidRPr="005C60DB">
              <w:t xml:space="preserve">Assistance with joint funding applications may be beneficial. </w:t>
            </w:r>
          </w:p>
        </w:tc>
      </w:tr>
      <w:tr w:rsidR="00F34A73" w14:paraId="6606C976" w14:textId="77777777" w:rsidTr="005975FD">
        <w:trPr>
          <w:trHeight w:val="1781"/>
        </w:trPr>
        <w:tc>
          <w:tcPr>
            <w:tcW w:w="2694" w:type="dxa"/>
            <w:tcBorders>
              <w:top w:val="dashSmallGap" w:sz="4" w:space="0" w:color="auto"/>
              <w:left w:val="nil"/>
              <w:bottom w:val="dashSmallGap" w:sz="4" w:space="0" w:color="auto"/>
              <w:right w:val="dashSmallGap" w:sz="4" w:space="0" w:color="auto"/>
            </w:tcBorders>
          </w:tcPr>
          <w:p w14:paraId="0301BF05" w14:textId="77777777" w:rsidR="00F34A73" w:rsidRDefault="00F34A73" w:rsidP="00A9351A">
            <w:pPr>
              <w:widowControl w:val="0"/>
              <w:spacing w:after="40"/>
              <w:rPr>
                <w:lang w:val="en-US"/>
              </w:rPr>
            </w:pPr>
            <w:r>
              <w:rPr>
                <w:noProof/>
              </w:rPr>
              <w:drawing>
                <wp:anchor distT="0" distB="0" distL="114300" distR="114300" simplePos="0" relativeHeight="251658247" behindDoc="0" locked="0" layoutInCell="1" allowOverlap="1" wp14:anchorId="3A24E2B9" wp14:editId="341AB5E3">
                  <wp:simplePos x="0" y="0"/>
                  <wp:positionH relativeFrom="margin">
                    <wp:posOffset>26035</wp:posOffset>
                  </wp:positionH>
                  <wp:positionV relativeFrom="margin">
                    <wp:posOffset>80010</wp:posOffset>
                  </wp:positionV>
                  <wp:extent cx="1457325" cy="713105"/>
                  <wp:effectExtent l="0" t="0" r="9525" b="0"/>
                  <wp:wrapSquare wrapText="bothSides"/>
                  <wp:docPr id="6" name="Picture 6" descr="ITSM Capabilities: It's Not About the Processes! | SysAid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M Capabilities: It's Not About the Processes! | SysAid Blo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left w:val="dashSmallGap" w:sz="4" w:space="0" w:color="auto"/>
              <w:bottom w:val="dashSmallGap" w:sz="4" w:space="0" w:color="auto"/>
              <w:right w:val="nil"/>
            </w:tcBorders>
          </w:tcPr>
          <w:p w14:paraId="7509E75F" w14:textId="106B7B6B" w:rsidR="00F34A73" w:rsidRDefault="00F34A73" w:rsidP="006D34D4">
            <w:pPr>
              <w:pStyle w:val="ListParagraph"/>
              <w:widowControl w:val="0"/>
              <w:numPr>
                <w:ilvl w:val="0"/>
                <w:numId w:val="15"/>
              </w:numPr>
              <w:spacing w:after="60"/>
              <w:ind w:left="357" w:hanging="357"/>
              <w:contextualSpacing w:val="0"/>
            </w:pPr>
            <w:r w:rsidRPr="006D34D4">
              <w:rPr>
                <w:b/>
                <w:bCs/>
              </w:rPr>
              <w:t xml:space="preserve">Strengthened capability </w:t>
            </w:r>
            <w:r w:rsidRPr="00BD16A1">
              <w:t xml:space="preserve">- the strength of the services provided. </w:t>
            </w:r>
          </w:p>
          <w:p w14:paraId="0D6E92EA" w14:textId="32DEA6F1" w:rsidR="00F34A73" w:rsidRPr="005975FD" w:rsidRDefault="00F34A73" w:rsidP="00A02BD6">
            <w:pPr>
              <w:pStyle w:val="ListParagraph"/>
              <w:widowControl w:val="0"/>
              <w:numPr>
                <w:ilvl w:val="0"/>
                <w:numId w:val="9"/>
              </w:numPr>
              <w:spacing w:after="40"/>
              <w:contextualSpacing w:val="0"/>
            </w:pPr>
            <w:r>
              <w:t>Priorities are programme development and tutor training, closely followed by marketing, and the drafting of funding applications</w:t>
            </w:r>
          </w:p>
        </w:tc>
      </w:tr>
      <w:tr w:rsidR="00F34A73" w14:paraId="0A3FA803" w14:textId="77777777" w:rsidTr="00A9351A">
        <w:tc>
          <w:tcPr>
            <w:tcW w:w="2694" w:type="dxa"/>
            <w:tcBorders>
              <w:top w:val="dashSmallGap" w:sz="4" w:space="0" w:color="auto"/>
              <w:left w:val="nil"/>
              <w:bottom w:val="dashSmallGap" w:sz="4" w:space="0" w:color="auto"/>
              <w:right w:val="dashSmallGap" w:sz="4" w:space="0" w:color="auto"/>
            </w:tcBorders>
          </w:tcPr>
          <w:p w14:paraId="2D6BA563" w14:textId="77777777" w:rsidR="00F34A73" w:rsidRDefault="00F34A73" w:rsidP="00A9351A">
            <w:pPr>
              <w:widowControl w:val="0"/>
              <w:spacing w:after="40"/>
              <w:rPr>
                <w:lang w:val="en-US"/>
              </w:rPr>
            </w:pPr>
            <w:r>
              <w:rPr>
                <w:noProof/>
              </w:rPr>
              <w:drawing>
                <wp:anchor distT="0" distB="0" distL="114300" distR="114300" simplePos="0" relativeHeight="251658243" behindDoc="0" locked="0" layoutInCell="1" allowOverlap="1" wp14:anchorId="7FC0A7C4" wp14:editId="1CF11665">
                  <wp:simplePos x="0" y="0"/>
                  <wp:positionH relativeFrom="margin">
                    <wp:posOffset>83820</wp:posOffset>
                  </wp:positionH>
                  <wp:positionV relativeFrom="margin">
                    <wp:posOffset>87630</wp:posOffset>
                  </wp:positionV>
                  <wp:extent cx="1360170" cy="853440"/>
                  <wp:effectExtent l="0" t="0" r="0" b="3810"/>
                  <wp:wrapSquare wrapText="bothSides"/>
                  <wp:docPr id="10" name="Picture 10" descr="Reader – Voice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er – Voice Drea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01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15B48190" w14:textId="127B1711" w:rsidR="00F34A73" w:rsidRPr="00BD16A1" w:rsidRDefault="00F34A73" w:rsidP="006D34D4">
            <w:pPr>
              <w:pStyle w:val="ListParagraph"/>
              <w:widowControl w:val="0"/>
              <w:numPr>
                <w:ilvl w:val="0"/>
                <w:numId w:val="15"/>
              </w:numPr>
              <w:spacing w:after="60"/>
              <w:ind w:left="357" w:hanging="357"/>
              <w:contextualSpacing w:val="0"/>
            </w:pPr>
            <w:r w:rsidRPr="006D34D4">
              <w:rPr>
                <w:b/>
                <w:bCs/>
              </w:rPr>
              <w:t>Coordinated voice</w:t>
            </w:r>
            <w:r w:rsidRPr="00BD16A1">
              <w:t xml:space="preserve"> – the potential for beneficial collaboration and collective impact when advocating for change. </w:t>
            </w:r>
          </w:p>
          <w:p w14:paraId="48DB2670" w14:textId="77777777" w:rsidR="00F34A73" w:rsidRDefault="00F34A73" w:rsidP="00A02BD6">
            <w:pPr>
              <w:pStyle w:val="ListParagraph"/>
              <w:widowControl w:val="0"/>
              <w:numPr>
                <w:ilvl w:val="0"/>
                <w:numId w:val="9"/>
              </w:numPr>
              <w:spacing w:after="40"/>
              <w:contextualSpacing w:val="0"/>
            </w:pPr>
            <w:r>
              <w:t xml:space="preserve">Three-quarters of services agree that their service is already part of an Auckland-wide network of creative spaces and art programmes. </w:t>
            </w:r>
          </w:p>
          <w:p w14:paraId="1A5E6836" w14:textId="77777777" w:rsidR="00F34A73" w:rsidRDefault="00F34A73" w:rsidP="00A02BD6">
            <w:pPr>
              <w:pStyle w:val="ListParagraph"/>
              <w:widowControl w:val="0"/>
              <w:numPr>
                <w:ilvl w:val="0"/>
                <w:numId w:val="9"/>
              </w:numPr>
              <w:spacing w:after="40"/>
              <w:contextualSpacing w:val="0"/>
            </w:pPr>
            <w:r>
              <w:t>Over 90 percent of services see the value of being part of such a coordinated and collaborative network to have collective impact.</w:t>
            </w:r>
          </w:p>
          <w:p w14:paraId="32D0AB12" w14:textId="77777777" w:rsidR="00F34A73" w:rsidRPr="005406AF" w:rsidRDefault="00F34A73" w:rsidP="00A02BD6">
            <w:pPr>
              <w:pStyle w:val="ListParagraph"/>
              <w:widowControl w:val="0"/>
              <w:numPr>
                <w:ilvl w:val="0"/>
                <w:numId w:val="9"/>
              </w:numPr>
              <w:spacing w:after="40"/>
              <w:contextualSpacing w:val="0"/>
            </w:pPr>
            <w:r>
              <w:t xml:space="preserve">Priorities are regular network meetings and collectively advocating to government on agreed issues. Shared premises are a further priority for some. </w:t>
            </w:r>
          </w:p>
        </w:tc>
      </w:tr>
      <w:tr w:rsidR="00F34A73" w14:paraId="2AB25FAD" w14:textId="77777777" w:rsidTr="00A9351A">
        <w:tc>
          <w:tcPr>
            <w:tcW w:w="2694" w:type="dxa"/>
            <w:tcBorders>
              <w:top w:val="dashSmallGap" w:sz="4" w:space="0" w:color="auto"/>
              <w:left w:val="nil"/>
              <w:bottom w:val="dashSmallGap" w:sz="4" w:space="0" w:color="auto"/>
              <w:right w:val="dashSmallGap" w:sz="4" w:space="0" w:color="auto"/>
            </w:tcBorders>
          </w:tcPr>
          <w:p w14:paraId="471D1FBB" w14:textId="77777777" w:rsidR="00F34A73" w:rsidRDefault="00F34A73" w:rsidP="00A9351A">
            <w:pPr>
              <w:widowControl w:val="0"/>
              <w:spacing w:after="40"/>
              <w:rPr>
                <w:lang w:val="en-US"/>
              </w:rPr>
            </w:pPr>
            <w:r>
              <w:rPr>
                <w:noProof/>
                <w:lang w:val="en-US"/>
              </w:rPr>
              <w:drawing>
                <wp:anchor distT="0" distB="0" distL="114300" distR="114300" simplePos="0" relativeHeight="251658248" behindDoc="0" locked="0" layoutInCell="1" allowOverlap="1" wp14:anchorId="67F4F4D5" wp14:editId="3B618EE8">
                  <wp:simplePos x="0" y="0"/>
                  <wp:positionH relativeFrom="margin">
                    <wp:posOffset>125730</wp:posOffset>
                  </wp:positionH>
                  <wp:positionV relativeFrom="margin">
                    <wp:posOffset>66675</wp:posOffset>
                  </wp:positionV>
                  <wp:extent cx="1348740" cy="75501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874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43571BF4" w14:textId="53C2AE30" w:rsidR="00F34A73" w:rsidRPr="006D34D4" w:rsidRDefault="00F34A73" w:rsidP="006D34D4">
            <w:pPr>
              <w:pStyle w:val="ListParagraph"/>
              <w:widowControl w:val="0"/>
              <w:numPr>
                <w:ilvl w:val="0"/>
                <w:numId w:val="15"/>
              </w:numPr>
              <w:spacing w:after="60"/>
              <w:ind w:left="357" w:hanging="357"/>
              <w:contextualSpacing w:val="0"/>
              <w:rPr>
                <w:lang w:val="en-US"/>
              </w:rPr>
            </w:pPr>
            <w:r w:rsidRPr="006D34D4">
              <w:rPr>
                <w:b/>
                <w:bCs/>
                <w:lang w:val="en-US"/>
              </w:rPr>
              <w:t>Accessible and visible sector</w:t>
            </w:r>
            <w:r w:rsidRPr="006D34D4">
              <w:rPr>
                <w:lang w:val="en-US"/>
              </w:rPr>
              <w:t xml:space="preserve"> – </w:t>
            </w:r>
          </w:p>
          <w:p w14:paraId="7FD8435E" w14:textId="77777777" w:rsidR="00F34A73" w:rsidRPr="006D1A84" w:rsidRDefault="00F34A73" w:rsidP="00A02BD6">
            <w:pPr>
              <w:pStyle w:val="ListParagraph"/>
              <w:widowControl w:val="0"/>
              <w:numPr>
                <w:ilvl w:val="0"/>
                <w:numId w:val="11"/>
              </w:numPr>
              <w:spacing w:after="40"/>
              <w:ind w:left="357" w:hanging="357"/>
              <w:contextualSpacing w:val="0"/>
            </w:pPr>
            <w:r w:rsidRPr="006D1A84">
              <w:t>Half of the respondents offer programmes in more than one ward, with many involved in numerous localities.</w:t>
            </w:r>
          </w:p>
          <w:p w14:paraId="269D6449" w14:textId="77777777" w:rsidR="00F34A73" w:rsidRDefault="00F34A73" w:rsidP="00A02BD6">
            <w:pPr>
              <w:pStyle w:val="ListParagraph"/>
              <w:widowControl w:val="0"/>
              <w:numPr>
                <w:ilvl w:val="0"/>
                <w:numId w:val="9"/>
              </w:numPr>
              <w:spacing w:after="40"/>
              <w:ind w:left="357" w:hanging="357"/>
              <w:contextualSpacing w:val="0"/>
            </w:pPr>
            <w:r>
              <w:t>There are opportunities for more creative spaces and art programmes to offer programmes in some lower socio-economic areas including Māngere-Ōtāhuhu, Manurewa, Ōtara-Papatoetoe, Puketapapa and Papakura.</w:t>
            </w:r>
          </w:p>
          <w:p w14:paraId="7F1D1729" w14:textId="77777777" w:rsidR="00F34A73" w:rsidRDefault="00F34A73" w:rsidP="00A02BD6">
            <w:pPr>
              <w:pStyle w:val="ListParagraph"/>
              <w:widowControl w:val="0"/>
              <w:numPr>
                <w:ilvl w:val="0"/>
                <w:numId w:val="9"/>
              </w:numPr>
              <w:spacing w:after="40"/>
              <w:contextualSpacing w:val="0"/>
            </w:pPr>
            <w:r>
              <w:t xml:space="preserve">Fifty-five percent of the sector believe they are either not visible or are unsure of their visibility, to their target groups. </w:t>
            </w:r>
          </w:p>
          <w:p w14:paraId="1A0E8D83" w14:textId="77777777" w:rsidR="00F34A73" w:rsidRPr="005406AF" w:rsidRDefault="00F34A73" w:rsidP="00A02BD6">
            <w:pPr>
              <w:pStyle w:val="ListParagraph"/>
              <w:widowControl w:val="0"/>
              <w:numPr>
                <w:ilvl w:val="0"/>
                <w:numId w:val="9"/>
              </w:numPr>
              <w:spacing w:after="40"/>
              <w:contextualSpacing w:val="0"/>
            </w:pPr>
            <w:r>
              <w:rPr>
                <w:lang w:val="en-US"/>
              </w:rPr>
              <w:t>A majority of services consider they are hampered in their ability to market their services due to lack of time (closely followed by lack of money).</w:t>
            </w:r>
          </w:p>
          <w:p w14:paraId="3B5799C1" w14:textId="77777777" w:rsidR="00F34A73" w:rsidRPr="00E807CB" w:rsidRDefault="00F34A73" w:rsidP="00A02BD6">
            <w:pPr>
              <w:pStyle w:val="ListParagraph"/>
              <w:widowControl w:val="0"/>
              <w:numPr>
                <w:ilvl w:val="0"/>
                <w:numId w:val="9"/>
              </w:numPr>
              <w:spacing w:after="40"/>
              <w:contextualSpacing w:val="0"/>
            </w:pPr>
            <w:r>
              <w:rPr>
                <w:lang w:val="en-US"/>
              </w:rPr>
              <w:t>A majority of services consider they are hampered with community engagement and outreach due to lack of money (followed by lack of time).</w:t>
            </w:r>
          </w:p>
        </w:tc>
      </w:tr>
      <w:tr w:rsidR="00F34A73" w14:paraId="6F114B41" w14:textId="77777777" w:rsidTr="00A9351A">
        <w:tc>
          <w:tcPr>
            <w:tcW w:w="2694" w:type="dxa"/>
            <w:tcBorders>
              <w:top w:val="dashSmallGap" w:sz="4" w:space="0" w:color="auto"/>
              <w:left w:val="nil"/>
              <w:bottom w:val="dashSmallGap" w:sz="4" w:space="0" w:color="auto"/>
              <w:right w:val="dashSmallGap" w:sz="4" w:space="0" w:color="auto"/>
            </w:tcBorders>
          </w:tcPr>
          <w:p w14:paraId="180D2C2B" w14:textId="77777777" w:rsidR="00F34A73" w:rsidRDefault="00F34A73" w:rsidP="00A9351A">
            <w:pPr>
              <w:widowControl w:val="0"/>
              <w:spacing w:after="40"/>
              <w:rPr>
                <w:lang w:val="en-US"/>
              </w:rPr>
            </w:pPr>
            <w:r>
              <w:rPr>
                <w:noProof/>
              </w:rPr>
              <w:drawing>
                <wp:anchor distT="0" distB="0" distL="114300" distR="114300" simplePos="0" relativeHeight="251658249" behindDoc="0" locked="0" layoutInCell="1" allowOverlap="1" wp14:anchorId="28B439F7" wp14:editId="252090D9">
                  <wp:simplePos x="0" y="0"/>
                  <wp:positionH relativeFrom="margin">
                    <wp:posOffset>-15240</wp:posOffset>
                  </wp:positionH>
                  <wp:positionV relativeFrom="margin">
                    <wp:posOffset>59690</wp:posOffset>
                  </wp:positionV>
                  <wp:extent cx="1356360" cy="737870"/>
                  <wp:effectExtent l="0" t="0" r="0" b="5080"/>
                  <wp:wrapSquare wrapText="bothSides"/>
                  <wp:docPr id="9" name="Picture 9" descr="NECSTouR signs the HOTREC Sustainability Charter on the Use od Sustainable  Energy in the Hospitality Sector | NECS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CSTouR signs the HOTREC Sustainability Charter on the Use od Sustainable  Energy in the Hospitality Sector | NECSTOU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636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32" w:type="dxa"/>
            <w:tcBorders>
              <w:top w:val="dashSmallGap" w:sz="4" w:space="0" w:color="auto"/>
              <w:left w:val="dashSmallGap" w:sz="4" w:space="0" w:color="auto"/>
              <w:bottom w:val="dashSmallGap" w:sz="4" w:space="0" w:color="auto"/>
              <w:right w:val="nil"/>
            </w:tcBorders>
          </w:tcPr>
          <w:p w14:paraId="4C642990" w14:textId="4BFE0C05" w:rsidR="00F34A73" w:rsidRDefault="00F34A73" w:rsidP="006D34D4">
            <w:pPr>
              <w:pStyle w:val="ListParagraph"/>
              <w:widowControl w:val="0"/>
              <w:numPr>
                <w:ilvl w:val="0"/>
                <w:numId w:val="15"/>
              </w:numPr>
              <w:spacing w:after="60"/>
              <w:ind w:left="357" w:hanging="357"/>
              <w:contextualSpacing w:val="0"/>
            </w:pPr>
            <w:r w:rsidRPr="006D34D4">
              <w:rPr>
                <w:b/>
                <w:bCs/>
                <w:lang w:val="en-US"/>
              </w:rPr>
              <w:t xml:space="preserve">Long-term sustainable sector </w:t>
            </w:r>
            <w:r w:rsidRPr="006D34D4">
              <w:rPr>
                <w:lang w:val="en-US"/>
              </w:rPr>
              <w:t xml:space="preserve">- </w:t>
            </w:r>
            <w:r w:rsidRPr="00BD16A1">
              <w:t>what might be needed to foster the strengths of the sector</w:t>
            </w:r>
            <w:r>
              <w:t xml:space="preserve"> into the future</w:t>
            </w:r>
            <w:r w:rsidRPr="00BD16A1">
              <w:t>.</w:t>
            </w:r>
          </w:p>
          <w:p w14:paraId="399B5F24" w14:textId="70A4B1D4" w:rsidR="00F34A73" w:rsidRDefault="006D34D4" w:rsidP="00A02BD6">
            <w:pPr>
              <w:pStyle w:val="ListParagraph"/>
              <w:widowControl w:val="0"/>
              <w:numPr>
                <w:ilvl w:val="0"/>
                <w:numId w:val="9"/>
              </w:numPr>
              <w:spacing w:after="40"/>
              <w:contextualSpacing w:val="0"/>
            </w:pPr>
            <w:r>
              <w:t>Most</w:t>
            </w:r>
            <w:r w:rsidR="00F34A73">
              <w:t xml:space="preserve"> services are either unsure, somewhat unconfident, or very unconfident that they are financially sustainable into the future.</w:t>
            </w:r>
          </w:p>
          <w:p w14:paraId="189DBC27" w14:textId="77777777" w:rsidR="00F34A73" w:rsidRDefault="00F34A73" w:rsidP="00A02BD6">
            <w:pPr>
              <w:pStyle w:val="ListParagraph"/>
              <w:widowControl w:val="0"/>
              <w:numPr>
                <w:ilvl w:val="0"/>
                <w:numId w:val="9"/>
              </w:numPr>
              <w:spacing w:after="40"/>
              <w:contextualSpacing w:val="0"/>
            </w:pPr>
            <w:r>
              <w:t xml:space="preserve">To become financially sustainable, the sector </w:t>
            </w:r>
            <w:r w:rsidRPr="005675B1">
              <w:t xml:space="preserve">must be supported by a stable and adequate source of funding. </w:t>
            </w:r>
            <w:r>
              <w:t xml:space="preserve">This is priority number one. </w:t>
            </w:r>
          </w:p>
          <w:p w14:paraId="7647CFFF" w14:textId="77777777" w:rsidR="00F34A73" w:rsidRDefault="00F34A73" w:rsidP="00A02BD6">
            <w:pPr>
              <w:pStyle w:val="ListParagraph"/>
              <w:widowControl w:val="0"/>
              <w:numPr>
                <w:ilvl w:val="0"/>
                <w:numId w:val="9"/>
              </w:numPr>
              <w:spacing w:after="40"/>
              <w:contextualSpacing w:val="0"/>
            </w:pPr>
            <w:r w:rsidRPr="005675B1">
              <w:t xml:space="preserve">This is closely followed by paying staff a living wage so that they will be attracted to work and remain in the sector; an issue common with workforces in other sectors such as teaching and nursing. </w:t>
            </w:r>
          </w:p>
          <w:p w14:paraId="3C0373CE" w14:textId="77777777" w:rsidR="00F34A73" w:rsidRPr="005675B1" w:rsidRDefault="00F34A73" w:rsidP="00A02BD6">
            <w:pPr>
              <w:pStyle w:val="ListParagraph"/>
              <w:widowControl w:val="0"/>
              <w:numPr>
                <w:ilvl w:val="0"/>
                <w:numId w:val="9"/>
              </w:numPr>
              <w:spacing w:after="40"/>
              <w:contextualSpacing w:val="0"/>
            </w:pPr>
            <w:r w:rsidRPr="005675B1">
              <w:t xml:space="preserve">The third highest priority area to ensure the sustainability of Auckland’s sector of creative spaces and art programmes is professional development, which will improve the quality of services but also help support the retention of staff and succession management. </w:t>
            </w:r>
          </w:p>
          <w:p w14:paraId="6B7E7D93" w14:textId="2B77692F" w:rsidR="00F34A73" w:rsidRDefault="00F34A73" w:rsidP="00A02BD6">
            <w:pPr>
              <w:pStyle w:val="ListParagraph"/>
              <w:widowControl w:val="0"/>
              <w:numPr>
                <w:ilvl w:val="0"/>
                <w:numId w:val="9"/>
              </w:numPr>
              <w:spacing w:after="40"/>
              <w:contextualSpacing w:val="0"/>
            </w:pPr>
            <w:r>
              <w:t>More than 80 percent of services</w:t>
            </w:r>
            <w:r w:rsidR="006D34D4">
              <w:t xml:space="preserve"> believe </w:t>
            </w:r>
            <w:r>
              <w:t xml:space="preserve">there will be an increased demand in the foreseeable future: </w:t>
            </w:r>
          </w:p>
          <w:p w14:paraId="6EA46523" w14:textId="77777777" w:rsidR="00F34A73" w:rsidRDefault="00F34A73" w:rsidP="00A02BD6">
            <w:pPr>
              <w:pStyle w:val="ListParagraph"/>
              <w:widowControl w:val="0"/>
              <w:numPr>
                <w:ilvl w:val="1"/>
                <w:numId w:val="9"/>
              </w:numPr>
              <w:spacing w:after="40"/>
              <w:ind w:left="736" w:hanging="425"/>
              <w:contextualSpacing w:val="0"/>
            </w:pPr>
            <w:r>
              <w:t>From Māori, Pasifika and cultural minority participants; and</w:t>
            </w:r>
          </w:p>
          <w:p w14:paraId="33C8EFEB" w14:textId="77777777" w:rsidR="00F34A73" w:rsidRDefault="00F34A73" w:rsidP="00A02BD6">
            <w:pPr>
              <w:pStyle w:val="ListParagraph"/>
              <w:widowControl w:val="0"/>
              <w:numPr>
                <w:ilvl w:val="1"/>
                <w:numId w:val="9"/>
              </w:numPr>
              <w:spacing w:after="40"/>
              <w:ind w:left="736" w:hanging="425"/>
              <w:contextualSpacing w:val="0"/>
            </w:pPr>
            <w:r>
              <w:t>Due to the effects of Covid-19 (increased mental ill-health, isolation and poverty, and rising unemployment).</w:t>
            </w:r>
          </w:p>
          <w:p w14:paraId="3EA8DC1E" w14:textId="77777777" w:rsidR="00F34A73" w:rsidRPr="005675B1" w:rsidRDefault="00F34A73" w:rsidP="00A02BD6">
            <w:pPr>
              <w:pStyle w:val="ListParagraph"/>
              <w:widowControl w:val="0"/>
              <w:numPr>
                <w:ilvl w:val="0"/>
                <w:numId w:val="9"/>
              </w:numPr>
              <w:spacing w:after="40"/>
              <w:contextualSpacing w:val="0"/>
            </w:pPr>
            <w:r>
              <w:t xml:space="preserve">As well as Covid-19 recovery impacts expected in relation to funding/revenue and participant numbers, services are also forecasting issues with the supply, demand, and capability of tutors, and with online delivery. </w:t>
            </w:r>
          </w:p>
        </w:tc>
      </w:tr>
    </w:tbl>
    <w:p w14:paraId="3E140AD5" w14:textId="77777777" w:rsidR="00F34A73" w:rsidRPr="00EC3C40" w:rsidRDefault="00F34A73" w:rsidP="00CF32E4">
      <w:pPr>
        <w:pStyle w:val="Heading1"/>
        <w:keepNext w:val="0"/>
        <w:keepLines w:val="0"/>
        <w:widowControl w:val="0"/>
        <w:pBdr>
          <w:bottom w:val="single" w:sz="4" w:space="1" w:color="auto"/>
        </w:pBdr>
        <w:spacing w:before="240" w:after="120" w:line="276" w:lineRule="auto"/>
        <w:rPr>
          <w:rFonts w:ascii="Century Gothic" w:hAnsi="Century Gothic"/>
          <w:color w:val="B23B0F"/>
          <w:sz w:val="32"/>
          <w:szCs w:val="32"/>
          <w:lang w:val="en-US"/>
        </w:rPr>
      </w:pPr>
      <w:bookmarkStart w:id="9" w:name="_Toc54711600"/>
      <w:bookmarkStart w:id="10" w:name="_Toc54870898"/>
      <w:bookmarkEnd w:id="8"/>
      <w:r w:rsidRPr="00EC3C40">
        <w:rPr>
          <w:rFonts w:ascii="Century Gothic" w:hAnsi="Century Gothic"/>
          <w:color w:val="B23B0F"/>
          <w:sz w:val="32"/>
          <w:szCs w:val="32"/>
          <w:lang w:val="en-US"/>
        </w:rPr>
        <w:t>Strategic priorities</w:t>
      </w:r>
      <w:bookmarkEnd w:id="9"/>
      <w:bookmarkEnd w:id="10"/>
    </w:p>
    <w:p w14:paraId="3C24C41F" w14:textId="77777777" w:rsidR="00F34A73" w:rsidRDefault="006D34D4" w:rsidP="008D6B3D">
      <w:pPr>
        <w:rPr>
          <w:lang w:val="en-US"/>
        </w:rPr>
      </w:pPr>
      <w:r w:rsidRPr="00193F28">
        <w:rPr>
          <w:noProof/>
          <w:lang w:eastAsia="en-NZ"/>
        </w:rPr>
        <w:drawing>
          <wp:anchor distT="0" distB="0" distL="114300" distR="114300" simplePos="0" relativeHeight="251658240" behindDoc="0" locked="0" layoutInCell="1" allowOverlap="1" wp14:anchorId="6D619FAF" wp14:editId="397F3AF2">
            <wp:simplePos x="0" y="0"/>
            <wp:positionH relativeFrom="margin">
              <wp:posOffset>-246380</wp:posOffset>
            </wp:positionH>
            <wp:positionV relativeFrom="margin">
              <wp:posOffset>3180715</wp:posOffset>
            </wp:positionV>
            <wp:extent cx="6286500" cy="2941320"/>
            <wp:effectExtent l="0" t="0" r="0" b="1143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F34A73">
        <w:rPr>
          <w:lang w:val="en-US"/>
        </w:rPr>
        <w:t>The points raised by the sector have been collated into five strategic priorities for Auckland’s creative spaces and community arts sector over the next two to three years, as illustrated below. Their aim, together, is to support the development of a sustainable sector of creative spaces and arts programmes.</w:t>
      </w:r>
    </w:p>
    <w:p w14:paraId="3219980D" w14:textId="77777777" w:rsidR="006D34D4" w:rsidRDefault="006D34D4" w:rsidP="008D6B3D">
      <w:pPr>
        <w:rPr>
          <w:lang w:val="en-US"/>
        </w:rPr>
      </w:pPr>
    </w:p>
    <w:p w14:paraId="40DC4ADF" w14:textId="77777777" w:rsidR="006D34D4" w:rsidRDefault="006D34D4" w:rsidP="008D6B3D">
      <w:pPr>
        <w:rPr>
          <w:lang w:val="en-US"/>
        </w:rPr>
      </w:pPr>
    </w:p>
    <w:p w14:paraId="1C5665C5" w14:textId="400B6D94" w:rsidR="006D34D4" w:rsidRPr="00576DFD" w:rsidRDefault="006D34D4" w:rsidP="00576DFD">
      <w:pPr>
        <w:pStyle w:val="Heading1"/>
        <w:pBdr>
          <w:bottom w:val="single" w:sz="4" w:space="1" w:color="auto"/>
        </w:pBdr>
        <w:spacing w:before="0" w:after="120" w:line="276" w:lineRule="auto"/>
        <w:rPr>
          <w:rFonts w:ascii="Century Gothic" w:hAnsi="Century Gothic"/>
          <w:color w:val="C45911" w:themeColor="accent2" w:themeShade="BF"/>
          <w:sz w:val="32"/>
          <w:szCs w:val="32"/>
          <w:lang w:val="en-US"/>
        </w:rPr>
      </w:pPr>
      <w:bookmarkStart w:id="11" w:name="_Toc54711601"/>
      <w:bookmarkStart w:id="12" w:name="_Toc54870899"/>
      <w:r w:rsidRPr="00576DFD">
        <w:rPr>
          <w:rFonts w:ascii="Century Gothic" w:hAnsi="Century Gothic"/>
          <w:color w:val="C45911" w:themeColor="accent2" w:themeShade="BF"/>
          <w:sz w:val="32"/>
          <w:szCs w:val="32"/>
          <w:lang w:val="en-US"/>
        </w:rPr>
        <w:t>Ways in which the sector can respond</w:t>
      </w:r>
      <w:bookmarkEnd w:id="11"/>
      <w:bookmarkEnd w:id="12"/>
    </w:p>
    <w:p w14:paraId="7AAF1737" w14:textId="77777777" w:rsidR="00576DFD" w:rsidRDefault="006D34D4" w:rsidP="00576DFD">
      <w:pPr>
        <w:spacing w:after="120"/>
        <w:rPr>
          <w:lang w:val="en-US"/>
        </w:rPr>
      </w:pPr>
      <w:r>
        <w:rPr>
          <w:lang w:val="en-US"/>
        </w:rPr>
        <w:t xml:space="preserve">To achieve the strategic priorities with the aim of a sustainable creative spaces and community arts sector in Auckland, a work programme for the next 12 to 24 months has been developed in consultation with the sector. </w:t>
      </w:r>
    </w:p>
    <w:p w14:paraId="5A1CB9A8" w14:textId="59C1658F" w:rsidR="006D34D4" w:rsidRDefault="006D34D4" w:rsidP="00576DFD">
      <w:pPr>
        <w:spacing w:after="120"/>
        <w:rPr>
          <w:lang w:val="en-US"/>
        </w:rPr>
        <w:sectPr w:rsidR="006D34D4" w:rsidSect="00E803A1">
          <w:footerReference w:type="default" r:id="rId31"/>
          <w:pgSz w:w="11906" w:h="16838"/>
          <w:pgMar w:top="1843" w:right="849" w:bottom="1440" w:left="1276" w:header="708" w:footer="411" w:gutter="0"/>
          <w:cols w:space="708"/>
          <w:titlePg/>
          <w:docGrid w:linePitch="360"/>
        </w:sectPr>
      </w:pPr>
      <w:r>
        <w:rPr>
          <w:lang w:val="en-US"/>
        </w:rPr>
        <w:t xml:space="preserve">This work programme </w:t>
      </w:r>
      <w:r w:rsidR="00576DFD">
        <w:rPr>
          <w:lang w:val="en-US"/>
        </w:rPr>
        <w:t>can</w:t>
      </w:r>
      <w:r>
        <w:rPr>
          <w:lang w:val="en-US"/>
        </w:rPr>
        <w:t xml:space="preserve"> drive the day to day activities of the Community Engagement Advisor and the Auckland Network.</w:t>
      </w:r>
    </w:p>
    <w:p w14:paraId="58FAA321" w14:textId="77777777" w:rsidR="001A7411" w:rsidRPr="00310027" w:rsidRDefault="001A7411" w:rsidP="001A7411">
      <w:pPr>
        <w:rPr>
          <w:b/>
          <w:bCs/>
          <w:sz w:val="28"/>
          <w:szCs w:val="28"/>
          <w:lang w:val="en-US"/>
        </w:rPr>
      </w:pPr>
      <w:r w:rsidRPr="00310027">
        <w:rPr>
          <w:b/>
          <w:bCs/>
          <w:sz w:val="28"/>
          <w:szCs w:val="28"/>
          <w:lang w:val="en-US"/>
        </w:rPr>
        <w:t xml:space="preserve">Activities for Arts Access Aotearoa </w:t>
      </w:r>
      <w:r>
        <w:rPr>
          <w:b/>
          <w:bCs/>
          <w:sz w:val="28"/>
          <w:szCs w:val="28"/>
          <w:lang w:val="en-US"/>
        </w:rPr>
        <w:t xml:space="preserve">and </w:t>
      </w:r>
      <w:r w:rsidRPr="00310027">
        <w:rPr>
          <w:b/>
          <w:bCs/>
          <w:sz w:val="28"/>
          <w:szCs w:val="28"/>
          <w:lang w:val="en-US"/>
        </w:rPr>
        <w:t xml:space="preserve">the </w:t>
      </w:r>
      <w:r>
        <w:rPr>
          <w:b/>
          <w:bCs/>
          <w:sz w:val="28"/>
          <w:szCs w:val="28"/>
          <w:lang w:val="en-US"/>
        </w:rPr>
        <w:t xml:space="preserve">Auckland </w:t>
      </w:r>
      <w:r w:rsidRPr="00310027">
        <w:rPr>
          <w:b/>
          <w:bCs/>
          <w:sz w:val="28"/>
          <w:szCs w:val="28"/>
          <w:lang w:val="en-US"/>
        </w:rPr>
        <w:t>sector of creative spaces and arts programmes</w:t>
      </w:r>
    </w:p>
    <w:tbl>
      <w:tblPr>
        <w:tblStyle w:val="TableGrid"/>
        <w:tblW w:w="0" w:type="auto"/>
        <w:tblBorders>
          <w:top w:val="dashSmallGap" w:sz="4"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054"/>
        <w:gridCol w:w="9174"/>
        <w:gridCol w:w="1730"/>
      </w:tblGrid>
      <w:tr w:rsidR="00F34A73" w:rsidRPr="00AC72C4" w14:paraId="0D5A28C0" w14:textId="77777777" w:rsidTr="00CF32E4">
        <w:tc>
          <w:tcPr>
            <w:tcW w:w="3054" w:type="dxa"/>
            <w:shd w:val="clear" w:color="auto" w:fill="F2F2F2" w:themeFill="background1" w:themeFillShade="F2"/>
          </w:tcPr>
          <w:p w14:paraId="65424FDA" w14:textId="77777777" w:rsidR="00F34A73" w:rsidRPr="00AC72C4" w:rsidRDefault="00F34A73" w:rsidP="00A9351A">
            <w:pPr>
              <w:widowControl w:val="0"/>
              <w:spacing w:after="120"/>
              <w:rPr>
                <w:b/>
                <w:sz w:val="24"/>
                <w:szCs w:val="24"/>
                <w:lang w:val="en-US"/>
              </w:rPr>
            </w:pPr>
            <w:r>
              <w:rPr>
                <w:b/>
                <w:sz w:val="24"/>
                <w:szCs w:val="24"/>
                <w:lang w:val="en-US"/>
              </w:rPr>
              <w:t>STRATEGIC PRIORITIES.</w:t>
            </w:r>
          </w:p>
        </w:tc>
        <w:tc>
          <w:tcPr>
            <w:tcW w:w="9174" w:type="dxa"/>
            <w:shd w:val="clear" w:color="auto" w:fill="F2F2F2" w:themeFill="background1" w:themeFillShade="F2"/>
          </w:tcPr>
          <w:p w14:paraId="3BFE473F" w14:textId="77777777" w:rsidR="00F34A73" w:rsidRPr="00AC72C4" w:rsidRDefault="00F34A73" w:rsidP="00A9351A">
            <w:pPr>
              <w:widowControl w:val="0"/>
              <w:spacing w:after="120"/>
              <w:rPr>
                <w:b/>
                <w:sz w:val="24"/>
                <w:szCs w:val="24"/>
                <w:lang w:val="en-US"/>
              </w:rPr>
            </w:pPr>
            <w:r>
              <w:rPr>
                <w:b/>
                <w:sz w:val="24"/>
                <w:szCs w:val="24"/>
                <w:lang w:val="en-US"/>
              </w:rPr>
              <w:t xml:space="preserve">ACTIVITIES. </w:t>
            </w:r>
          </w:p>
        </w:tc>
        <w:tc>
          <w:tcPr>
            <w:tcW w:w="1730" w:type="dxa"/>
            <w:shd w:val="clear" w:color="auto" w:fill="F2F2F2" w:themeFill="background1" w:themeFillShade="F2"/>
          </w:tcPr>
          <w:p w14:paraId="250008B1" w14:textId="77777777" w:rsidR="00F34A73" w:rsidRDefault="00F34A73" w:rsidP="00A9351A">
            <w:pPr>
              <w:widowControl w:val="0"/>
              <w:spacing w:after="120"/>
              <w:rPr>
                <w:b/>
                <w:sz w:val="24"/>
                <w:szCs w:val="24"/>
                <w:lang w:val="en-US"/>
              </w:rPr>
            </w:pPr>
            <w:r>
              <w:rPr>
                <w:b/>
                <w:sz w:val="24"/>
                <w:szCs w:val="24"/>
                <w:lang w:val="en-US"/>
              </w:rPr>
              <w:t>OUTCOMES.</w:t>
            </w:r>
          </w:p>
        </w:tc>
      </w:tr>
      <w:tr w:rsidR="00F34A73" w14:paraId="0F714B7E" w14:textId="77777777" w:rsidTr="00CF32E4">
        <w:tc>
          <w:tcPr>
            <w:tcW w:w="3054" w:type="dxa"/>
            <w:tcBorders>
              <w:bottom w:val="dashSmallGap" w:sz="4" w:space="0" w:color="auto"/>
            </w:tcBorders>
            <w:shd w:val="clear" w:color="auto" w:fill="F2F2F2" w:themeFill="background1" w:themeFillShade="F2"/>
          </w:tcPr>
          <w:p w14:paraId="56D9F4F0" w14:textId="77777777" w:rsidR="00F34A73" w:rsidRPr="00AC72C4" w:rsidRDefault="00F34A73" w:rsidP="00A9351A">
            <w:pPr>
              <w:widowControl w:val="0"/>
              <w:spacing w:after="0"/>
              <w:rPr>
                <w:b/>
                <w:sz w:val="24"/>
                <w:szCs w:val="24"/>
                <w:lang w:val="en-US"/>
              </w:rPr>
            </w:pPr>
            <w:r w:rsidRPr="00EC3C40">
              <w:rPr>
                <w:b/>
                <w:color w:val="B23B0F"/>
                <w:sz w:val="24"/>
                <w:szCs w:val="24"/>
                <w:lang w:val="en-US"/>
              </w:rPr>
              <w:t xml:space="preserve">Strategic Priority 1: </w:t>
            </w:r>
            <w:r w:rsidRPr="00AC72C4">
              <w:rPr>
                <w:b/>
                <w:sz w:val="24"/>
                <w:szCs w:val="24"/>
                <w:lang w:val="en-US"/>
              </w:rPr>
              <w:t>Recognition of value</w:t>
            </w:r>
          </w:p>
        </w:tc>
        <w:tc>
          <w:tcPr>
            <w:tcW w:w="9174" w:type="dxa"/>
            <w:tcBorders>
              <w:bottom w:val="dashSmallGap" w:sz="4" w:space="0" w:color="auto"/>
            </w:tcBorders>
          </w:tcPr>
          <w:p w14:paraId="43BF2083" w14:textId="77777777" w:rsidR="007B682E" w:rsidRDefault="00DC2B44" w:rsidP="00A02BD6">
            <w:pPr>
              <w:pStyle w:val="ListParagraph"/>
              <w:widowControl w:val="0"/>
              <w:numPr>
                <w:ilvl w:val="0"/>
                <w:numId w:val="4"/>
              </w:numPr>
              <w:spacing w:after="120"/>
              <w:ind w:left="357" w:hanging="357"/>
              <w:contextualSpacing w:val="0"/>
              <w:rPr>
                <w:sz w:val="20"/>
                <w:szCs w:val="20"/>
                <w:lang w:val="en-US"/>
              </w:rPr>
            </w:pPr>
            <w:r>
              <w:rPr>
                <w:sz w:val="20"/>
                <w:szCs w:val="20"/>
                <w:lang w:val="en-US"/>
              </w:rPr>
              <w:t>Arts Access Aotearoa to</w:t>
            </w:r>
            <w:r w:rsidR="007B682E">
              <w:rPr>
                <w:sz w:val="20"/>
                <w:szCs w:val="20"/>
                <w:lang w:val="en-US"/>
              </w:rPr>
              <w:t>:</w:t>
            </w:r>
          </w:p>
          <w:p w14:paraId="204F9CD3" w14:textId="42749B43" w:rsidR="007B682E" w:rsidRDefault="007B682E" w:rsidP="000477B1">
            <w:pPr>
              <w:pStyle w:val="ListParagraph"/>
              <w:widowControl w:val="0"/>
              <w:numPr>
                <w:ilvl w:val="0"/>
                <w:numId w:val="16"/>
              </w:numPr>
              <w:spacing w:after="120"/>
              <w:ind w:left="714" w:hanging="357"/>
              <w:contextualSpacing w:val="0"/>
              <w:rPr>
                <w:sz w:val="20"/>
                <w:szCs w:val="20"/>
                <w:lang w:val="en-US"/>
              </w:rPr>
            </w:pPr>
            <w:r>
              <w:rPr>
                <w:sz w:val="20"/>
                <w:szCs w:val="20"/>
                <w:lang w:val="en-US"/>
              </w:rPr>
              <w:t>S</w:t>
            </w:r>
            <w:r w:rsidR="00813953" w:rsidRPr="007B682E">
              <w:rPr>
                <w:sz w:val="20"/>
                <w:szCs w:val="20"/>
                <w:lang w:val="en-US"/>
              </w:rPr>
              <w:t xml:space="preserve">ecure funding </w:t>
            </w:r>
            <w:r w:rsidR="000477B1">
              <w:rPr>
                <w:sz w:val="20"/>
                <w:szCs w:val="20"/>
                <w:lang w:val="en-US"/>
              </w:rPr>
              <w:t xml:space="preserve">for </w:t>
            </w:r>
            <w:r w:rsidR="00F34A73" w:rsidRPr="007B682E">
              <w:rPr>
                <w:sz w:val="20"/>
                <w:szCs w:val="20"/>
                <w:lang w:val="en-US"/>
              </w:rPr>
              <w:t>research</w:t>
            </w:r>
            <w:r w:rsidR="009A3177" w:rsidRPr="007B682E">
              <w:rPr>
                <w:sz w:val="20"/>
                <w:szCs w:val="20"/>
                <w:lang w:val="en-US"/>
              </w:rPr>
              <w:t>.</w:t>
            </w:r>
            <w:r w:rsidR="00F34A73" w:rsidRPr="007B682E">
              <w:rPr>
                <w:sz w:val="20"/>
                <w:szCs w:val="20"/>
                <w:lang w:val="en-US"/>
              </w:rPr>
              <w:t xml:space="preserve"> </w:t>
            </w:r>
          </w:p>
          <w:p w14:paraId="43402D65" w14:textId="0E7536EE" w:rsidR="000477B1" w:rsidRDefault="000477B1" w:rsidP="000477B1">
            <w:pPr>
              <w:pStyle w:val="ListParagraph"/>
              <w:widowControl w:val="0"/>
              <w:numPr>
                <w:ilvl w:val="0"/>
                <w:numId w:val="16"/>
              </w:numPr>
              <w:spacing w:after="120"/>
              <w:ind w:left="714" w:hanging="357"/>
              <w:contextualSpacing w:val="0"/>
              <w:rPr>
                <w:sz w:val="20"/>
                <w:szCs w:val="20"/>
                <w:lang w:val="en-US"/>
              </w:rPr>
            </w:pPr>
            <w:r>
              <w:rPr>
                <w:sz w:val="20"/>
                <w:szCs w:val="20"/>
                <w:lang w:val="en-US"/>
              </w:rPr>
              <w:t xml:space="preserve">Contract Auckland researchers </w:t>
            </w:r>
            <w:r w:rsidR="00F34A73" w:rsidRPr="007B682E">
              <w:rPr>
                <w:sz w:val="20"/>
                <w:szCs w:val="20"/>
                <w:lang w:val="en-US"/>
              </w:rPr>
              <w:t>to design and conduct a survey to determine the financial and social return on investment (value) of a dollar spent on creative spaces and art programmes (the social investment approach)</w:t>
            </w:r>
            <w:r w:rsidR="009B755B">
              <w:rPr>
                <w:sz w:val="20"/>
                <w:szCs w:val="20"/>
                <w:lang w:val="en-US"/>
              </w:rPr>
              <w:t xml:space="preserve">, to complement international research </w:t>
            </w:r>
            <w:r w:rsidR="00500B04">
              <w:rPr>
                <w:sz w:val="20"/>
                <w:szCs w:val="20"/>
                <w:lang w:val="en-US"/>
              </w:rPr>
              <w:t>on this matter</w:t>
            </w:r>
          </w:p>
          <w:p w14:paraId="05CF1F37" w14:textId="55B56086" w:rsidR="00BF6CFF" w:rsidRDefault="00F34A73" w:rsidP="00BF6CFF">
            <w:pPr>
              <w:pStyle w:val="ListParagraph"/>
              <w:widowControl w:val="0"/>
              <w:numPr>
                <w:ilvl w:val="0"/>
                <w:numId w:val="16"/>
              </w:numPr>
              <w:spacing w:after="120"/>
              <w:ind w:left="714" w:hanging="357"/>
              <w:contextualSpacing w:val="0"/>
              <w:rPr>
                <w:sz w:val="20"/>
                <w:szCs w:val="20"/>
                <w:lang w:val="en-US"/>
              </w:rPr>
            </w:pPr>
            <w:r w:rsidRPr="000477B1">
              <w:rPr>
                <w:sz w:val="20"/>
                <w:szCs w:val="20"/>
                <w:lang w:val="en-US"/>
              </w:rPr>
              <w:t xml:space="preserve">Use this evidence to complement </w:t>
            </w:r>
            <w:r w:rsidR="009B755B">
              <w:rPr>
                <w:sz w:val="20"/>
                <w:szCs w:val="20"/>
                <w:lang w:val="en-US"/>
              </w:rPr>
              <w:t xml:space="preserve">New Zealand </w:t>
            </w:r>
            <w:r w:rsidRPr="000477B1">
              <w:rPr>
                <w:sz w:val="20"/>
                <w:szCs w:val="20"/>
                <w:lang w:val="en-US"/>
              </w:rPr>
              <w:t>research from the perspective of participants</w:t>
            </w:r>
            <w:r w:rsidR="000477B1">
              <w:rPr>
                <w:sz w:val="20"/>
                <w:szCs w:val="20"/>
                <w:lang w:val="en-US"/>
              </w:rPr>
              <w:t>,</w:t>
            </w:r>
            <w:r w:rsidRPr="000477B1">
              <w:rPr>
                <w:sz w:val="20"/>
                <w:szCs w:val="20"/>
                <w:lang w:val="en-US"/>
              </w:rPr>
              <w:t xml:space="preserve"> their </w:t>
            </w:r>
            <w:r w:rsidR="00BF6CFF">
              <w:rPr>
                <w:sz w:val="20"/>
                <w:szCs w:val="20"/>
                <w:lang w:val="en-US"/>
              </w:rPr>
              <w:t>whanau,</w:t>
            </w:r>
            <w:r w:rsidRPr="000477B1">
              <w:rPr>
                <w:sz w:val="20"/>
                <w:szCs w:val="20"/>
                <w:lang w:val="en-US"/>
              </w:rPr>
              <w:t xml:space="preserve"> and communities about how the value of creative practice and outcomes is recognised and understood. </w:t>
            </w:r>
          </w:p>
          <w:p w14:paraId="029674F5" w14:textId="2A44D5A3" w:rsidR="00F34A73" w:rsidRPr="00BF6CFF" w:rsidRDefault="00BF6CFF" w:rsidP="00BF6CFF">
            <w:pPr>
              <w:pStyle w:val="ListParagraph"/>
              <w:widowControl w:val="0"/>
              <w:numPr>
                <w:ilvl w:val="0"/>
                <w:numId w:val="16"/>
              </w:numPr>
              <w:spacing w:after="120"/>
              <w:ind w:left="714" w:hanging="357"/>
              <w:contextualSpacing w:val="0"/>
              <w:rPr>
                <w:sz w:val="20"/>
                <w:szCs w:val="20"/>
                <w:lang w:val="en-US"/>
              </w:rPr>
            </w:pPr>
            <w:r>
              <w:rPr>
                <w:sz w:val="20"/>
                <w:szCs w:val="20"/>
                <w:lang w:val="en-US"/>
              </w:rPr>
              <w:t xml:space="preserve">Publish research to allow services to provide it </w:t>
            </w:r>
            <w:r w:rsidR="00370A24">
              <w:rPr>
                <w:sz w:val="20"/>
                <w:szCs w:val="20"/>
                <w:lang w:val="en-US"/>
              </w:rPr>
              <w:t xml:space="preserve">as </w:t>
            </w:r>
            <w:r>
              <w:rPr>
                <w:sz w:val="20"/>
                <w:szCs w:val="20"/>
                <w:lang w:val="en-US"/>
              </w:rPr>
              <w:t xml:space="preserve">evidence of their </w:t>
            </w:r>
            <w:r w:rsidR="00370A24">
              <w:rPr>
                <w:sz w:val="20"/>
                <w:szCs w:val="20"/>
                <w:lang w:val="en-US"/>
              </w:rPr>
              <w:t>value</w:t>
            </w:r>
            <w:r>
              <w:rPr>
                <w:sz w:val="20"/>
                <w:szCs w:val="20"/>
                <w:lang w:val="en-US"/>
              </w:rPr>
              <w:t xml:space="preserve"> </w:t>
            </w:r>
            <w:r w:rsidR="00F34A73" w:rsidRPr="00BF6CFF">
              <w:rPr>
                <w:sz w:val="20"/>
                <w:szCs w:val="20"/>
                <w:lang w:val="en-US"/>
              </w:rPr>
              <w:t xml:space="preserve">in </w:t>
            </w:r>
            <w:r w:rsidR="00DC2B44" w:rsidRPr="00BF6CFF">
              <w:rPr>
                <w:sz w:val="20"/>
                <w:szCs w:val="20"/>
                <w:lang w:val="en-US"/>
              </w:rPr>
              <w:t xml:space="preserve">their </w:t>
            </w:r>
            <w:r w:rsidR="00F34A73" w:rsidRPr="00BF6CFF">
              <w:rPr>
                <w:sz w:val="20"/>
                <w:szCs w:val="20"/>
                <w:lang w:val="en-US"/>
              </w:rPr>
              <w:t xml:space="preserve">funding applications. </w:t>
            </w:r>
          </w:p>
          <w:p w14:paraId="774F307B" w14:textId="2FE13F87" w:rsidR="00F34A73" w:rsidRPr="00B45166" w:rsidRDefault="00500B04" w:rsidP="00A02BD6">
            <w:pPr>
              <w:pStyle w:val="ListParagraph"/>
              <w:widowControl w:val="0"/>
              <w:numPr>
                <w:ilvl w:val="0"/>
                <w:numId w:val="4"/>
              </w:numPr>
              <w:spacing w:after="120"/>
              <w:ind w:left="357" w:hanging="357"/>
              <w:contextualSpacing w:val="0"/>
              <w:rPr>
                <w:sz w:val="20"/>
                <w:szCs w:val="20"/>
                <w:lang w:val="en-US"/>
              </w:rPr>
            </w:pPr>
            <w:r>
              <w:rPr>
                <w:sz w:val="20"/>
                <w:szCs w:val="20"/>
                <w:lang w:val="en-US"/>
              </w:rPr>
              <w:t>Arts Access Aotearoa to s</w:t>
            </w:r>
            <w:r w:rsidR="00F34A73">
              <w:rPr>
                <w:sz w:val="20"/>
                <w:szCs w:val="20"/>
                <w:lang w:val="en-US"/>
              </w:rPr>
              <w:t>eek opportunit</w:t>
            </w:r>
            <w:r>
              <w:rPr>
                <w:sz w:val="20"/>
                <w:szCs w:val="20"/>
                <w:lang w:val="en-US"/>
              </w:rPr>
              <w:t>ies</w:t>
            </w:r>
            <w:r w:rsidR="00F34A73">
              <w:rPr>
                <w:sz w:val="20"/>
                <w:szCs w:val="20"/>
                <w:lang w:val="en-US"/>
              </w:rPr>
              <w:t xml:space="preserve"> to influence the methodology of Colmar Brunton/Creative New Zealand’s surveys (representative sample, design of the questions, data collected) on art attitudes, attendance, and participation in Auckland, to contribute to the evidence base of: (a) accessible culture and (b) the value of creative spaces and art programmes. </w:t>
            </w:r>
          </w:p>
        </w:tc>
        <w:tc>
          <w:tcPr>
            <w:tcW w:w="1730" w:type="dxa"/>
            <w:tcBorders>
              <w:bottom w:val="dashSmallGap" w:sz="4" w:space="0" w:color="auto"/>
            </w:tcBorders>
          </w:tcPr>
          <w:p w14:paraId="3403C38A" w14:textId="77777777" w:rsidR="00F34A73" w:rsidRPr="00F37518" w:rsidRDefault="00F34A73" w:rsidP="00A9351A">
            <w:pPr>
              <w:widowControl w:val="0"/>
              <w:spacing w:after="60"/>
              <w:rPr>
                <w:sz w:val="20"/>
                <w:szCs w:val="20"/>
                <w:lang w:val="en-US"/>
              </w:rPr>
            </w:pPr>
            <w:r>
              <w:rPr>
                <w:sz w:val="20"/>
                <w:szCs w:val="20"/>
                <w:lang w:val="en-US"/>
              </w:rPr>
              <w:t xml:space="preserve">Stronger evidence base of value. </w:t>
            </w:r>
          </w:p>
        </w:tc>
      </w:tr>
      <w:tr w:rsidR="00F34A73" w14:paraId="0D597668" w14:textId="77777777" w:rsidTr="00CF32E4">
        <w:tc>
          <w:tcPr>
            <w:tcW w:w="3054" w:type="dxa"/>
            <w:tcBorders>
              <w:bottom w:val="dashSmallGap" w:sz="4" w:space="0" w:color="auto"/>
            </w:tcBorders>
            <w:shd w:val="clear" w:color="auto" w:fill="F2F2F2" w:themeFill="background1" w:themeFillShade="F2"/>
          </w:tcPr>
          <w:p w14:paraId="0869E9C2" w14:textId="77777777" w:rsidR="00F34A73" w:rsidRPr="00AC72C4" w:rsidRDefault="00F34A73" w:rsidP="00A9351A">
            <w:pPr>
              <w:widowControl w:val="0"/>
              <w:spacing w:after="0"/>
              <w:rPr>
                <w:b/>
                <w:sz w:val="24"/>
                <w:szCs w:val="24"/>
                <w:lang w:val="en-US"/>
              </w:rPr>
            </w:pPr>
            <w:r w:rsidRPr="00EC3C40">
              <w:rPr>
                <w:b/>
                <w:color w:val="B23B0F"/>
                <w:sz w:val="24"/>
                <w:szCs w:val="24"/>
                <w:lang w:val="en-US"/>
              </w:rPr>
              <w:t xml:space="preserve">Strategic Priority 2: </w:t>
            </w:r>
            <w:r w:rsidRPr="00AC72C4">
              <w:rPr>
                <w:b/>
                <w:sz w:val="24"/>
                <w:szCs w:val="24"/>
                <w:lang w:val="en-US"/>
              </w:rPr>
              <w:t>Sustainable funding</w:t>
            </w:r>
          </w:p>
        </w:tc>
        <w:tc>
          <w:tcPr>
            <w:tcW w:w="9174" w:type="dxa"/>
            <w:tcBorders>
              <w:bottom w:val="dashSmallGap" w:sz="4" w:space="0" w:color="auto"/>
            </w:tcBorders>
          </w:tcPr>
          <w:p w14:paraId="623967CE" w14:textId="77777777" w:rsidR="00F34A73" w:rsidRDefault="00F34A73" w:rsidP="00A02BD6">
            <w:pPr>
              <w:pStyle w:val="ListParagraph"/>
              <w:widowControl w:val="0"/>
              <w:numPr>
                <w:ilvl w:val="0"/>
                <w:numId w:val="4"/>
              </w:numPr>
              <w:spacing w:after="120"/>
              <w:ind w:left="357" w:hanging="357"/>
              <w:contextualSpacing w:val="0"/>
              <w:rPr>
                <w:sz w:val="20"/>
                <w:szCs w:val="20"/>
                <w:lang w:val="en-US"/>
              </w:rPr>
            </w:pPr>
            <w:r>
              <w:rPr>
                <w:sz w:val="20"/>
                <w:szCs w:val="20"/>
                <w:lang w:val="en-US"/>
              </w:rPr>
              <w:t xml:space="preserve">Arts Access Aotearoa to engage with Ministers or Associate Ministers for Disability; Social Development; Arts, Culture and Heritage; Pacific Peoples; and Health to petition for ring-fenced funding for creative spaces from central government.  </w:t>
            </w:r>
          </w:p>
          <w:p w14:paraId="394D1982" w14:textId="5A69BB5D" w:rsidR="00F34A73" w:rsidRDefault="00FD503F" w:rsidP="00A02BD6">
            <w:pPr>
              <w:pStyle w:val="ListParagraph"/>
              <w:widowControl w:val="0"/>
              <w:numPr>
                <w:ilvl w:val="0"/>
                <w:numId w:val="4"/>
              </w:numPr>
              <w:spacing w:after="120"/>
              <w:ind w:left="357" w:hanging="357"/>
              <w:contextualSpacing w:val="0"/>
              <w:rPr>
                <w:sz w:val="20"/>
                <w:szCs w:val="20"/>
                <w:lang w:val="en-US"/>
              </w:rPr>
            </w:pPr>
            <w:r>
              <w:rPr>
                <w:sz w:val="20"/>
                <w:szCs w:val="20"/>
                <w:lang w:val="en-US"/>
              </w:rPr>
              <w:t>Arts Access Aotearoa to w</w:t>
            </w:r>
            <w:r w:rsidR="00F34A73" w:rsidRPr="009B3588">
              <w:rPr>
                <w:sz w:val="20"/>
                <w:szCs w:val="20"/>
                <w:lang w:val="en-US"/>
              </w:rPr>
              <w:t xml:space="preserve">ork with central </w:t>
            </w:r>
            <w:r w:rsidR="00F34A73">
              <w:rPr>
                <w:sz w:val="20"/>
                <w:szCs w:val="20"/>
                <w:lang w:val="en-US"/>
              </w:rPr>
              <w:t>g</w:t>
            </w:r>
            <w:r w:rsidR="00F34A73" w:rsidRPr="009B3588">
              <w:rPr>
                <w:sz w:val="20"/>
                <w:szCs w:val="20"/>
                <w:lang w:val="en-US"/>
              </w:rPr>
              <w:t>overnment</w:t>
            </w:r>
            <w:r w:rsidR="00F34A73">
              <w:rPr>
                <w:sz w:val="20"/>
                <w:szCs w:val="20"/>
                <w:lang w:val="en-US"/>
              </w:rPr>
              <w:t xml:space="preserve">, Auckland Council, </w:t>
            </w:r>
            <w:r w:rsidR="0051068D">
              <w:rPr>
                <w:sz w:val="20"/>
                <w:szCs w:val="20"/>
                <w:lang w:val="en-US"/>
              </w:rPr>
              <w:t xml:space="preserve">philanthropic trusts, </w:t>
            </w:r>
            <w:r w:rsidR="00F34A73">
              <w:rPr>
                <w:sz w:val="20"/>
                <w:szCs w:val="20"/>
                <w:lang w:val="en-US"/>
              </w:rPr>
              <w:t xml:space="preserve">and </w:t>
            </w:r>
            <w:r w:rsidR="00F34A73" w:rsidRPr="009B3588">
              <w:rPr>
                <w:sz w:val="20"/>
                <w:szCs w:val="20"/>
                <w:lang w:val="en-US"/>
              </w:rPr>
              <w:t>DHBs to agree on the balance of responsibility for investment in creative spaces.</w:t>
            </w:r>
            <w:r w:rsidR="00F34A73">
              <w:rPr>
                <w:sz w:val="20"/>
                <w:szCs w:val="20"/>
                <w:lang w:val="en-US"/>
              </w:rPr>
              <w:t xml:space="preserve"> </w:t>
            </w:r>
          </w:p>
          <w:p w14:paraId="4F5029BE" w14:textId="43E74681" w:rsidR="00A65811" w:rsidRPr="00FD503F" w:rsidRDefault="00FD503F" w:rsidP="00FD503F">
            <w:pPr>
              <w:pStyle w:val="ListParagraph"/>
              <w:widowControl w:val="0"/>
              <w:numPr>
                <w:ilvl w:val="0"/>
                <w:numId w:val="4"/>
              </w:numPr>
              <w:spacing w:after="120"/>
              <w:ind w:left="357" w:hanging="357"/>
              <w:contextualSpacing w:val="0"/>
              <w:rPr>
                <w:sz w:val="20"/>
                <w:szCs w:val="20"/>
                <w:lang w:val="en-US"/>
              </w:rPr>
            </w:pPr>
            <w:r>
              <w:rPr>
                <w:sz w:val="20"/>
                <w:szCs w:val="20"/>
                <w:lang w:val="en-US"/>
              </w:rPr>
              <w:t>Arts Access Aotearoa to e</w:t>
            </w:r>
            <w:r w:rsidR="00A65811">
              <w:rPr>
                <w:sz w:val="20"/>
                <w:szCs w:val="20"/>
                <w:lang w:val="en-US"/>
              </w:rPr>
              <w:t>ncourage services to build or improve relationships with local Council Boards and apply to them for funding for community empowerment.</w:t>
            </w:r>
          </w:p>
        </w:tc>
        <w:tc>
          <w:tcPr>
            <w:tcW w:w="1730" w:type="dxa"/>
            <w:tcBorders>
              <w:bottom w:val="dashSmallGap" w:sz="4" w:space="0" w:color="auto"/>
            </w:tcBorders>
          </w:tcPr>
          <w:p w14:paraId="515E4B0B" w14:textId="77777777" w:rsidR="00F34A73" w:rsidRDefault="00F34A73" w:rsidP="00A9351A">
            <w:pPr>
              <w:widowControl w:val="0"/>
              <w:spacing w:after="60"/>
              <w:rPr>
                <w:sz w:val="20"/>
                <w:szCs w:val="20"/>
                <w:lang w:val="en-US"/>
              </w:rPr>
            </w:pPr>
            <w:r>
              <w:rPr>
                <w:sz w:val="20"/>
                <w:szCs w:val="20"/>
                <w:lang w:val="en-US"/>
              </w:rPr>
              <w:t xml:space="preserve">Tactical advocacy. </w:t>
            </w:r>
          </w:p>
          <w:p w14:paraId="2971C9DA" w14:textId="77777777" w:rsidR="00F34A73" w:rsidRPr="00F37518" w:rsidRDefault="00F34A73" w:rsidP="00A9351A">
            <w:pPr>
              <w:widowControl w:val="0"/>
              <w:spacing w:after="60"/>
              <w:rPr>
                <w:sz w:val="20"/>
                <w:szCs w:val="20"/>
                <w:lang w:val="en-US"/>
              </w:rPr>
            </w:pPr>
            <w:r>
              <w:rPr>
                <w:sz w:val="20"/>
                <w:szCs w:val="20"/>
                <w:lang w:val="en-US"/>
              </w:rPr>
              <w:t xml:space="preserve">Enhanced capability to seek funding. </w:t>
            </w:r>
          </w:p>
        </w:tc>
      </w:tr>
    </w:tbl>
    <w:p w14:paraId="0B974D79" w14:textId="77777777" w:rsidR="004D70B7" w:rsidRDefault="004D70B7" w:rsidP="00025A01">
      <w:pPr>
        <w:spacing w:after="0"/>
        <w:rPr>
          <w:b/>
          <w:bCs/>
          <w:i/>
          <w:iCs/>
        </w:rPr>
      </w:pPr>
    </w:p>
    <w:p w14:paraId="39B13396" w14:textId="4683CD3C" w:rsidR="00F34A73" w:rsidRDefault="004D70B7" w:rsidP="00025A01">
      <w:pPr>
        <w:spacing w:after="0"/>
      </w:pPr>
      <w:r>
        <w:rPr>
          <w:b/>
          <w:bCs/>
          <w:i/>
          <w:iCs/>
        </w:rPr>
        <w:br w:type="column"/>
      </w:r>
      <w:r w:rsidR="00F34A73" w:rsidRPr="00D75470">
        <w:rPr>
          <w:b/>
          <w:bCs/>
          <w:i/>
          <w:iCs/>
        </w:rPr>
        <w:t>Continued</w:t>
      </w:r>
    </w:p>
    <w:tbl>
      <w:tblPr>
        <w:tblStyle w:val="TableGrid"/>
        <w:tblW w:w="0" w:type="auto"/>
        <w:tblInd w:w="103" w:type="dxa"/>
        <w:tblBorders>
          <w:top w:val="dashSmallGap" w:sz="4"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947"/>
        <w:gridCol w:w="9173"/>
        <w:gridCol w:w="1730"/>
      </w:tblGrid>
      <w:tr w:rsidR="00F34A73" w:rsidRPr="00AC72C4" w14:paraId="25292AA9" w14:textId="77777777" w:rsidTr="00A65811">
        <w:tc>
          <w:tcPr>
            <w:tcW w:w="2947" w:type="dxa"/>
            <w:shd w:val="clear" w:color="auto" w:fill="F2F2F2" w:themeFill="background1" w:themeFillShade="F2"/>
          </w:tcPr>
          <w:p w14:paraId="5E14E0A6" w14:textId="77777777" w:rsidR="00F34A73" w:rsidRPr="00AC72C4" w:rsidRDefault="00F34A73" w:rsidP="00A9351A">
            <w:pPr>
              <w:widowControl w:val="0"/>
              <w:spacing w:after="0"/>
              <w:rPr>
                <w:b/>
                <w:sz w:val="24"/>
                <w:szCs w:val="24"/>
                <w:lang w:val="en-US"/>
              </w:rPr>
            </w:pPr>
            <w:r>
              <w:rPr>
                <w:b/>
                <w:sz w:val="24"/>
                <w:szCs w:val="24"/>
                <w:lang w:val="en-US"/>
              </w:rPr>
              <w:t>STRATEGIC PRIORITIES.</w:t>
            </w:r>
          </w:p>
        </w:tc>
        <w:tc>
          <w:tcPr>
            <w:tcW w:w="9173" w:type="dxa"/>
            <w:shd w:val="clear" w:color="auto" w:fill="F2F2F2" w:themeFill="background1" w:themeFillShade="F2"/>
          </w:tcPr>
          <w:p w14:paraId="61FB345E" w14:textId="77777777" w:rsidR="00F34A73" w:rsidRPr="00AC72C4" w:rsidRDefault="00F34A73" w:rsidP="00A9351A">
            <w:pPr>
              <w:widowControl w:val="0"/>
              <w:spacing w:after="120"/>
              <w:rPr>
                <w:b/>
                <w:sz w:val="24"/>
                <w:szCs w:val="24"/>
                <w:lang w:val="en-US"/>
              </w:rPr>
            </w:pPr>
            <w:r>
              <w:rPr>
                <w:b/>
                <w:sz w:val="24"/>
                <w:szCs w:val="24"/>
                <w:lang w:val="en-US"/>
              </w:rPr>
              <w:t>ACTIVITIES.</w:t>
            </w:r>
          </w:p>
        </w:tc>
        <w:tc>
          <w:tcPr>
            <w:tcW w:w="1730" w:type="dxa"/>
            <w:shd w:val="clear" w:color="auto" w:fill="F2F2F2" w:themeFill="background1" w:themeFillShade="F2"/>
          </w:tcPr>
          <w:p w14:paraId="7D14E1D9" w14:textId="77777777" w:rsidR="00F34A73" w:rsidRDefault="00F34A73" w:rsidP="00A9351A">
            <w:pPr>
              <w:widowControl w:val="0"/>
              <w:spacing w:after="0"/>
              <w:rPr>
                <w:b/>
                <w:sz w:val="24"/>
                <w:szCs w:val="24"/>
                <w:lang w:val="en-US"/>
              </w:rPr>
            </w:pPr>
            <w:r>
              <w:rPr>
                <w:b/>
                <w:sz w:val="24"/>
                <w:szCs w:val="24"/>
                <w:lang w:val="en-US"/>
              </w:rPr>
              <w:t>OUTCOMES.</w:t>
            </w:r>
          </w:p>
        </w:tc>
      </w:tr>
      <w:tr w:rsidR="00FD503F" w14:paraId="4A6B170D" w14:textId="77777777" w:rsidTr="00A65811">
        <w:tc>
          <w:tcPr>
            <w:tcW w:w="2947" w:type="dxa"/>
            <w:tcBorders>
              <w:bottom w:val="dashSmallGap" w:sz="4" w:space="0" w:color="auto"/>
            </w:tcBorders>
            <w:shd w:val="clear" w:color="auto" w:fill="F2F2F2" w:themeFill="background1" w:themeFillShade="F2"/>
          </w:tcPr>
          <w:p w14:paraId="121E7514" w14:textId="77777777" w:rsidR="00FD503F" w:rsidRPr="00EC3C40" w:rsidRDefault="00FD503F" w:rsidP="00A9351A">
            <w:pPr>
              <w:widowControl w:val="0"/>
              <w:spacing w:after="0"/>
              <w:rPr>
                <w:b/>
                <w:color w:val="B23B0F"/>
                <w:sz w:val="24"/>
                <w:szCs w:val="24"/>
                <w:lang w:val="en-US"/>
              </w:rPr>
            </w:pPr>
          </w:p>
        </w:tc>
        <w:tc>
          <w:tcPr>
            <w:tcW w:w="9173" w:type="dxa"/>
            <w:tcBorders>
              <w:bottom w:val="dashSmallGap" w:sz="4" w:space="0" w:color="auto"/>
            </w:tcBorders>
          </w:tcPr>
          <w:p w14:paraId="4F7DC2EC" w14:textId="1A88ADCA" w:rsidR="00FD503F" w:rsidRPr="00500B04" w:rsidRDefault="00FD503F" w:rsidP="00FD503F">
            <w:pPr>
              <w:pStyle w:val="ListParagraph"/>
              <w:widowControl w:val="0"/>
              <w:numPr>
                <w:ilvl w:val="0"/>
                <w:numId w:val="10"/>
              </w:numPr>
              <w:spacing w:after="120"/>
              <w:contextualSpacing w:val="0"/>
              <w:rPr>
                <w:sz w:val="20"/>
                <w:szCs w:val="20"/>
                <w:lang w:val="en-US"/>
              </w:rPr>
            </w:pPr>
            <w:r>
              <w:rPr>
                <w:sz w:val="20"/>
                <w:szCs w:val="20"/>
                <w:lang w:val="en-US"/>
              </w:rPr>
              <w:t>Arts Access Aotearoa to d</w:t>
            </w:r>
            <w:r w:rsidRPr="00500B04">
              <w:rPr>
                <w:sz w:val="20"/>
                <w:szCs w:val="20"/>
                <w:lang w:val="en-US"/>
              </w:rPr>
              <w:t xml:space="preserve">evelop examplars of funding applications, including joint applications, making good use of evidence, for use by creative spaces and art programmes. Think differently about what could be funded jointly. </w:t>
            </w:r>
          </w:p>
          <w:p w14:paraId="357E4B0C" w14:textId="087FD994" w:rsidR="00FD503F" w:rsidRDefault="00FD503F" w:rsidP="00FD503F">
            <w:pPr>
              <w:pStyle w:val="ListParagraph"/>
              <w:widowControl w:val="0"/>
              <w:numPr>
                <w:ilvl w:val="0"/>
                <w:numId w:val="10"/>
              </w:numPr>
              <w:spacing w:after="60"/>
              <w:contextualSpacing w:val="0"/>
              <w:rPr>
                <w:sz w:val="20"/>
                <w:szCs w:val="20"/>
                <w:lang w:val="en-US"/>
              </w:rPr>
            </w:pPr>
            <w:r>
              <w:rPr>
                <w:sz w:val="20"/>
                <w:szCs w:val="20"/>
                <w:lang w:val="en-US"/>
              </w:rPr>
              <w:t>Arts Access Aotearoa to i</w:t>
            </w:r>
            <w:r w:rsidRPr="00EC2158">
              <w:rPr>
                <w:sz w:val="20"/>
                <w:szCs w:val="20"/>
                <w:lang w:val="en-US"/>
              </w:rPr>
              <w:t>dentify potential strengths and weaknesses of joint applications for funding. Consider supporting two or more services to trial a joint application.</w:t>
            </w:r>
          </w:p>
        </w:tc>
        <w:tc>
          <w:tcPr>
            <w:tcW w:w="1730" w:type="dxa"/>
            <w:tcBorders>
              <w:bottom w:val="dashSmallGap" w:sz="4" w:space="0" w:color="auto"/>
            </w:tcBorders>
          </w:tcPr>
          <w:p w14:paraId="4911C97A" w14:textId="77777777" w:rsidR="00FD503F" w:rsidRDefault="00FD503F" w:rsidP="00A9351A">
            <w:pPr>
              <w:widowControl w:val="0"/>
              <w:spacing w:after="60"/>
              <w:rPr>
                <w:sz w:val="20"/>
                <w:szCs w:val="20"/>
                <w:lang w:val="en-US"/>
              </w:rPr>
            </w:pPr>
          </w:p>
        </w:tc>
      </w:tr>
      <w:tr w:rsidR="00F34A73" w14:paraId="439312D6" w14:textId="77777777" w:rsidTr="00A65811">
        <w:tc>
          <w:tcPr>
            <w:tcW w:w="2947" w:type="dxa"/>
            <w:tcBorders>
              <w:bottom w:val="dashSmallGap" w:sz="4" w:space="0" w:color="auto"/>
            </w:tcBorders>
            <w:shd w:val="clear" w:color="auto" w:fill="F2F2F2" w:themeFill="background1" w:themeFillShade="F2"/>
          </w:tcPr>
          <w:p w14:paraId="42AD8016" w14:textId="77777777" w:rsidR="00F34A73" w:rsidRPr="00AC72C4" w:rsidRDefault="00F34A73" w:rsidP="00A9351A">
            <w:pPr>
              <w:widowControl w:val="0"/>
              <w:spacing w:after="0"/>
              <w:rPr>
                <w:b/>
                <w:sz w:val="24"/>
                <w:szCs w:val="24"/>
                <w:lang w:val="en-US"/>
              </w:rPr>
            </w:pPr>
            <w:r w:rsidRPr="00EC3C40">
              <w:rPr>
                <w:b/>
                <w:color w:val="B23B0F"/>
                <w:sz w:val="24"/>
                <w:szCs w:val="24"/>
                <w:lang w:val="en-US"/>
              </w:rPr>
              <w:t xml:space="preserve">Strategic Priority 3: </w:t>
            </w:r>
            <w:r w:rsidRPr="00AC72C4">
              <w:rPr>
                <w:b/>
                <w:sz w:val="24"/>
                <w:szCs w:val="24"/>
                <w:lang w:val="en-US"/>
              </w:rPr>
              <w:t>Strengthened capability</w:t>
            </w:r>
          </w:p>
        </w:tc>
        <w:tc>
          <w:tcPr>
            <w:tcW w:w="9173" w:type="dxa"/>
            <w:tcBorders>
              <w:bottom w:val="dashSmallGap" w:sz="4" w:space="0" w:color="auto"/>
            </w:tcBorders>
          </w:tcPr>
          <w:p w14:paraId="15179C8B" w14:textId="2BCAC946" w:rsidR="00F34A73" w:rsidRPr="00B82A1F" w:rsidRDefault="00FD503F" w:rsidP="00A02BD6">
            <w:pPr>
              <w:pStyle w:val="ListParagraph"/>
              <w:widowControl w:val="0"/>
              <w:numPr>
                <w:ilvl w:val="0"/>
                <w:numId w:val="10"/>
              </w:numPr>
              <w:spacing w:after="60"/>
              <w:contextualSpacing w:val="0"/>
              <w:rPr>
                <w:sz w:val="20"/>
                <w:szCs w:val="20"/>
                <w:lang w:val="en-US"/>
              </w:rPr>
            </w:pPr>
            <w:r>
              <w:rPr>
                <w:sz w:val="20"/>
                <w:szCs w:val="20"/>
                <w:lang w:val="en-US"/>
              </w:rPr>
              <w:t>Arts Access Aotearoa to d</w:t>
            </w:r>
            <w:r w:rsidR="00F34A73">
              <w:rPr>
                <w:sz w:val="20"/>
                <w:szCs w:val="20"/>
                <w:lang w:val="en-US"/>
              </w:rPr>
              <w:t>evelop a r</w:t>
            </w:r>
            <w:r w:rsidR="00F34A73" w:rsidRPr="00B82A1F">
              <w:rPr>
                <w:sz w:val="20"/>
                <w:szCs w:val="20"/>
                <w:lang w:val="en-US"/>
              </w:rPr>
              <w:t>esource kit</w:t>
            </w:r>
            <w:r w:rsidR="00F34A73">
              <w:rPr>
                <w:sz w:val="20"/>
                <w:szCs w:val="20"/>
                <w:lang w:val="en-US"/>
              </w:rPr>
              <w:t xml:space="preserve"> for services, to help build capability in governance, leadership, management/administration, professional development, marketing, and outreach. </w:t>
            </w:r>
          </w:p>
          <w:p w14:paraId="45DD3E16" w14:textId="1D985959" w:rsidR="00F34A73" w:rsidRDefault="00FD503F"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s</w:t>
            </w:r>
            <w:r w:rsidR="00F34A73" w:rsidRPr="00B82A1F">
              <w:rPr>
                <w:sz w:val="20"/>
                <w:szCs w:val="20"/>
                <w:lang w:val="en-US"/>
              </w:rPr>
              <w:t xml:space="preserve">upport </w:t>
            </w:r>
            <w:r w:rsidR="00F34A73">
              <w:rPr>
                <w:sz w:val="20"/>
                <w:szCs w:val="20"/>
                <w:lang w:val="en-US"/>
              </w:rPr>
              <w:t xml:space="preserve">services to make good use of </w:t>
            </w:r>
            <w:r w:rsidR="00F34A73" w:rsidRPr="00B82A1F">
              <w:rPr>
                <w:sz w:val="20"/>
                <w:szCs w:val="20"/>
                <w:lang w:val="en-US"/>
              </w:rPr>
              <w:t>technology</w:t>
            </w:r>
            <w:r w:rsidR="00F34A73">
              <w:rPr>
                <w:sz w:val="20"/>
                <w:szCs w:val="20"/>
                <w:lang w:val="en-US"/>
              </w:rPr>
              <w:t xml:space="preserve"> and online delivery options.</w:t>
            </w:r>
            <w:r w:rsidR="00F34A73" w:rsidRPr="00B82A1F">
              <w:rPr>
                <w:sz w:val="20"/>
                <w:szCs w:val="20"/>
                <w:lang w:val="en-US"/>
              </w:rPr>
              <w:t xml:space="preserve"> </w:t>
            </w:r>
          </w:p>
          <w:p w14:paraId="53A3B7AB" w14:textId="78A879C7" w:rsidR="00F34A73" w:rsidRPr="00B82A1F" w:rsidRDefault="00FD503F"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s</w:t>
            </w:r>
            <w:r w:rsidR="00F34A73">
              <w:rPr>
                <w:sz w:val="20"/>
                <w:szCs w:val="20"/>
                <w:lang w:val="en-US"/>
              </w:rPr>
              <w:t xml:space="preserve">upport services to access funding to provide participants with the technology necessary to receive online delivery. </w:t>
            </w:r>
          </w:p>
        </w:tc>
        <w:tc>
          <w:tcPr>
            <w:tcW w:w="1730" w:type="dxa"/>
            <w:tcBorders>
              <w:bottom w:val="dashSmallGap" w:sz="4" w:space="0" w:color="auto"/>
            </w:tcBorders>
          </w:tcPr>
          <w:p w14:paraId="4ACA079E" w14:textId="77777777" w:rsidR="00F34A73" w:rsidRPr="00F37518" w:rsidRDefault="00F34A73" w:rsidP="00A9351A">
            <w:pPr>
              <w:widowControl w:val="0"/>
              <w:spacing w:after="60"/>
              <w:rPr>
                <w:sz w:val="20"/>
                <w:szCs w:val="20"/>
                <w:lang w:val="en-US"/>
              </w:rPr>
            </w:pPr>
            <w:r>
              <w:rPr>
                <w:sz w:val="20"/>
                <w:szCs w:val="20"/>
                <w:lang w:val="en-US"/>
              </w:rPr>
              <w:t xml:space="preserve">Enhanced organisational capability and efficiency. </w:t>
            </w:r>
          </w:p>
        </w:tc>
      </w:tr>
      <w:tr w:rsidR="00F34A73" w14:paraId="6D2ACBC0" w14:textId="77777777" w:rsidTr="00A65811">
        <w:tc>
          <w:tcPr>
            <w:tcW w:w="2947" w:type="dxa"/>
            <w:tcBorders>
              <w:bottom w:val="dashSmallGap" w:sz="4" w:space="0" w:color="auto"/>
            </w:tcBorders>
            <w:shd w:val="clear" w:color="auto" w:fill="F2F2F2" w:themeFill="background1" w:themeFillShade="F2"/>
          </w:tcPr>
          <w:p w14:paraId="7C467ECB" w14:textId="77777777" w:rsidR="00F34A73" w:rsidRPr="00AC72C4" w:rsidRDefault="00F34A73" w:rsidP="00A9351A">
            <w:pPr>
              <w:widowControl w:val="0"/>
              <w:spacing w:after="0"/>
              <w:rPr>
                <w:b/>
                <w:sz w:val="24"/>
                <w:szCs w:val="24"/>
                <w:lang w:val="en-US"/>
              </w:rPr>
            </w:pPr>
            <w:r w:rsidRPr="00EC3C40">
              <w:rPr>
                <w:b/>
                <w:color w:val="B23B0F"/>
                <w:sz w:val="24"/>
                <w:szCs w:val="24"/>
                <w:lang w:val="en-US"/>
              </w:rPr>
              <w:t xml:space="preserve">Strategic Priority 4: </w:t>
            </w:r>
            <w:r w:rsidRPr="00AC72C4">
              <w:rPr>
                <w:b/>
                <w:sz w:val="24"/>
                <w:szCs w:val="24"/>
                <w:lang w:val="en-US"/>
              </w:rPr>
              <w:t>Coordinated voice</w:t>
            </w:r>
          </w:p>
        </w:tc>
        <w:tc>
          <w:tcPr>
            <w:tcW w:w="9173" w:type="dxa"/>
            <w:tcBorders>
              <w:bottom w:val="dashSmallGap" w:sz="4" w:space="0" w:color="auto"/>
            </w:tcBorders>
          </w:tcPr>
          <w:p w14:paraId="377B36E5" w14:textId="7254CE50" w:rsidR="00F34A73" w:rsidRDefault="00FD503F"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encourage t</w:t>
            </w:r>
            <w:r w:rsidR="00F34A73">
              <w:rPr>
                <w:sz w:val="20"/>
                <w:szCs w:val="20"/>
                <w:lang w:val="en-US"/>
              </w:rPr>
              <w:t>he</w:t>
            </w:r>
            <w:r w:rsidR="00F34A73" w:rsidRPr="00B82A1F">
              <w:rPr>
                <w:sz w:val="20"/>
                <w:szCs w:val="20"/>
                <w:lang w:val="en-US"/>
              </w:rPr>
              <w:t xml:space="preserve"> </w:t>
            </w:r>
            <w:r w:rsidR="00025A01">
              <w:rPr>
                <w:sz w:val="20"/>
                <w:szCs w:val="20"/>
                <w:lang w:val="en-US"/>
              </w:rPr>
              <w:t xml:space="preserve">Auckland </w:t>
            </w:r>
            <w:r w:rsidR="00F34A73">
              <w:rPr>
                <w:sz w:val="20"/>
                <w:szCs w:val="20"/>
                <w:lang w:val="en-US"/>
              </w:rPr>
              <w:t>N</w:t>
            </w:r>
            <w:r w:rsidR="00F34A73" w:rsidRPr="00B82A1F">
              <w:rPr>
                <w:sz w:val="20"/>
                <w:szCs w:val="20"/>
                <w:lang w:val="en-US"/>
              </w:rPr>
              <w:t xml:space="preserve">etwork </w:t>
            </w:r>
            <w:r w:rsidR="00025A01">
              <w:rPr>
                <w:sz w:val="20"/>
                <w:szCs w:val="20"/>
                <w:lang w:val="en-US"/>
              </w:rPr>
              <w:t>of creative spaces</w:t>
            </w:r>
            <w:r w:rsidR="00F34A73" w:rsidRPr="00B82A1F">
              <w:rPr>
                <w:sz w:val="20"/>
                <w:szCs w:val="20"/>
                <w:lang w:val="en-US"/>
              </w:rPr>
              <w:t xml:space="preserve"> </w:t>
            </w:r>
            <w:r w:rsidR="00F34A73">
              <w:rPr>
                <w:sz w:val="20"/>
                <w:szCs w:val="20"/>
                <w:lang w:val="en-US"/>
              </w:rPr>
              <w:t>to:</w:t>
            </w:r>
          </w:p>
          <w:p w14:paraId="0CF5C07E" w14:textId="77777777" w:rsidR="00F34A73" w:rsidRDefault="00F34A73" w:rsidP="00A02BD6">
            <w:pPr>
              <w:pStyle w:val="ListParagraph"/>
              <w:widowControl w:val="0"/>
              <w:numPr>
                <w:ilvl w:val="0"/>
                <w:numId w:val="13"/>
              </w:numPr>
              <w:spacing w:after="60"/>
              <w:contextualSpacing w:val="0"/>
              <w:rPr>
                <w:sz w:val="20"/>
                <w:szCs w:val="20"/>
                <w:lang w:val="en-US"/>
              </w:rPr>
            </w:pPr>
            <w:r>
              <w:rPr>
                <w:sz w:val="20"/>
                <w:szCs w:val="20"/>
                <w:lang w:val="en-US"/>
              </w:rPr>
              <w:t xml:space="preserve">Meet regularly and agree on meeting protocols. </w:t>
            </w:r>
          </w:p>
          <w:p w14:paraId="4AE65852" w14:textId="77777777" w:rsidR="00F34A73" w:rsidRPr="00B82A1F" w:rsidRDefault="00F34A73" w:rsidP="00A02BD6">
            <w:pPr>
              <w:pStyle w:val="ListParagraph"/>
              <w:widowControl w:val="0"/>
              <w:numPr>
                <w:ilvl w:val="0"/>
                <w:numId w:val="13"/>
              </w:numPr>
              <w:spacing w:after="60"/>
              <w:contextualSpacing w:val="0"/>
              <w:rPr>
                <w:sz w:val="20"/>
                <w:szCs w:val="20"/>
                <w:lang w:val="en-US"/>
              </w:rPr>
            </w:pPr>
            <w:r>
              <w:rPr>
                <w:sz w:val="20"/>
                <w:szCs w:val="20"/>
                <w:lang w:val="en-US"/>
              </w:rPr>
              <w:t xml:space="preserve">Agree on who to lead/progress each action point, and how/when.  </w:t>
            </w:r>
          </w:p>
          <w:p w14:paraId="01D724A0" w14:textId="77777777" w:rsidR="00F34A73" w:rsidRDefault="00F34A73" w:rsidP="00A02BD6">
            <w:pPr>
              <w:pStyle w:val="ListParagraph"/>
              <w:widowControl w:val="0"/>
              <w:numPr>
                <w:ilvl w:val="0"/>
                <w:numId w:val="13"/>
              </w:numPr>
              <w:spacing w:after="60"/>
              <w:contextualSpacing w:val="0"/>
              <w:rPr>
                <w:sz w:val="20"/>
                <w:szCs w:val="20"/>
                <w:lang w:val="en-US"/>
              </w:rPr>
            </w:pPr>
            <w:r>
              <w:rPr>
                <w:sz w:val="20"/>
                <w:szCs w:val="20"/>
                <w:lang w:val="en-US"/>
              </w:rPr>
              <w:t xml:space="preserve">Agree on a small number of services to represent the Auckland sector and partner with Auckland Council through its strategic relationship grant, to then be disseminated for the benefit of the sector. Refer also to Strategic Funding items above. </w:t>
            </w:r>
          </w:p>
          <w:p w14:paraId="35A4B1A4" w14:textId="4E14AD42" w:rsidR="00F34A73" w:rsidRDefault="00F34A73" w:rsidP="00A02BD6">
            <w:pPr>
              <w:pStyle w:val="ListParagraph"/>
              <w:widowControl w:val="0"/>
              <w:numPr>
                <w:ilvl w:val="0"/>
                <w:numId w:val="13"/>
              </w:numPr>
              <w:spacing w:after="60"/>
              <w:contextualSpacing w:val="0"/>
              <w:rPr>
                <w:sz w:val="20"/>
                <w:szCs w:val="20"/>
                <w:lang w:val="en-US"/>
              </w:rPr>
            </w:pPr>
            <w:r>
              <w:rPr>
                <w:sz w:val="20"/>
                <w:szCs w:val="20"/>
                <w:lang w:val="en-US"/>
              </w:rPr>
              <w:t>Design and hold a regional Creative Spaces/Art Programme conference</w:t>
            </w:r>
            <w:r w:rsidR="00FD503F">
              <w:rPr>
                <w:sz w:val="20"/>
                <w:szCs w:val="20"/>
                <w:lang w:val="en-US"/>
              </w:rPr>
              <w:t>, with the support of Arts Access Aotearoa</w:t>
            </w:r>
            <w:r>
              <w:rPr>
                <w:sz w:val="20"/>
                <w:szCs w:val="20"/>
                <w:lang w:val="en-US"/>
              </w:rPr>
              <w:t xml:space="preserve">. </w:t>
            </w:r>
          </w:p>
          <w:p w14:paraId="0A3FBE2B" w14:textId="377C5675" w:rsidR="00F34A73" w:rsidRDefault="00FD503F"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i</w:t>
            </w:r>
            <w:r w:rsidR="00F34A73">
              <w:rPr>
                <w:sz w:val="20"/>
                <w:szCs w:val="20"/>
                <w:lang w:val="en-US"/>
              </w:rPr>
              <w:t>dentify c</w:t>
            </w:r>
            <w:r w:rsidR="00F34A73" w:rsidRPr="00B82A1F">
              <w:rPr>
                <w:sz w:val="20"/>
                <w:szCs w:val="20"/>
                <w:lang w:val="en-US"/>
              </w:rPr>
              <w:t>ommon spaces</w:t>
            </w:r>
            <w:r w:rsidR="00F34A73">
              <w:rPr>
                <w:sz w:val="20"/>
                <w:szCs w:val="20"/>
                <w:lang w:val="en-US"/>
              </w:rPr>
              <w:t xml:space="preserve"> and premises and develop a plan of action for services to occupy those spaces. </w:t>
            </w:r>
          </w:p>
          <w:p w14:paraId="4A6F3D14" w14:textId="14E16E1E" w:rsidR="00F34A73" w:rsidRPr="0090232C"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support the Auckland Network of creative spaces to w</w:t>
            </w:r>
            <w:r w:rsidR="00F34A73">
              <w:rPr>
                <w:sz w:val="20"/>
                <w:szCs w:val="20"/>
                <w:lang w:val="en-US"/>
              </w:rPr>
              <w:t xml:space="preserve">ork towards the sharing of essential back room services (accountants, lawyers, </w:t>
            </w:r>
            <w:r w:rsidR="000A2BD0">
              <w:rPr>
                <w:sz w:val="20"/>
                <w:szCs w:val="20"/>
                <w:lang w:val="en-US"/>
              </w:rPr>
              <w:t xml:space="preserve">marketing advisors, digital resources </w:t>
            </w:r>
            <w:r w:rsidR="00F34A73">
              <w:rPr>
                <w:sz w:val="20"/>
                <w:szCs w:val="20"/>
                <w:lang w:val="en-US"/>
              </w:rPr>
              <w:t>etc).</w:t>
            </w:r>
          </w:p>
        </w:tc>
        <w:tc>
          <w:tcPr>
            <w:tcW w:w="1730" w:type="dxa"/>
            <w:tcBorders>
              <w:bottom w:val="dashSmallGap" w:sz="4" w:space="0" w:color="auto"/>
            </w:tcBorders>
          </w:tcPr>
          <w:p w14:paraId="288710B8" w14:textId="77777777" w:rsidR="00F34A73" w:rsidRDefault="00F34A73" w:rsidP="00A9351A">
            <w:pPr>
              <w:widowControl w:val="0"/>
              <w:spacing w:after="60"/>
              <w:rPr>
                <w:sz w:val="20"/>
                <w:szCs w:val="20"/>
                <w:lang w:val="en-US"/>
              </w:rPr>
            </w:pPr>
            <w:r>
              <w:rPr>
                <w:sz w:val="20"/>
                <w:szCs w:val="20"/>
                <w:lang w:val="en-US"/>
              </w:rPr>
              <w:t>Stronger sector voice.</w:t>
            </w:r>
          </w:p>
          <w:p w14:paraId="60991E43" w14:textId="77777777" w:rsidR="00F34A73" w:rsidRPr="00F37518" w:rsidRDefault="00F34A73" w:rsidP="00A9351A">
            <w:pPr>
              <w:widowControl w:val="0"/>
              <w:spacing w:after="60"/>
              <w:rPr>
                <w:sz w:val="20"/>
                <w:szCs w:val="20"/>
                <w:lang w:val="en-US"/>
              </w:rPr>
            </w:pPr>
            <w:r>
              <w:rPr>
                <w:sz w:val="20"/>
                <w:szCs w:val="20"/>
                <w:lang w:val="en-US"/>
              </w:rPr>
              <w:t xml:space="preserve">Increased readiness for collaboration and efficacy. </w:t>
            </w:r>
          </w:p>
        </w:tc>
      </w:tr>
    </w:tbl>
    <w:p w14:paraId="210A9AE9" w14:textId="37CDE757" w:rsidR="00025A01" w:rsidRDefault="00025A01"/>
    <w:p w14:paraId="2E485845" w14:textId="77777777" w:rsidR="00025A01" w:rsidRDefault="00025A01" w:rsidP="00025A01">
      <w:pPr>
        <w:spacing w:after="0"/>
      </w:pPr>
      <w:r>
        <w:br w:type="column"/>
      </w:r>
      <w:r w:rsidRPr="00D75470">
        <w:rPr>
          <w:b/>
          <w:bCs/>
          <w:i/>
          <w:iCs/>
        </w:rPr>
        <w:t>Continued</w:t>
      </w:r>
    </w:p>
    <w:tbl>
      <w:tblPr>
        <w:tblStyle w:val="TableGrid"/>
        <w:tblW w:w="0" w:type="auto"/>
        <w:tblInd w:w="98" w:type="dxa"/>
        <w:tblLook w:val="04A0" w:firstRow="1" w:lastRow="0" w:firstColumn="1" w:lastColumn="0" w:noHBand="0" w:noVBand="1"/>
      </w:tblPr>
      <w:tblGrid>
        <w:gridCol w:w="2947"/>
        <w:gridCol w:w="9173"/>
        <w:gridCol w:w="1730"/>
      </w:tblGrid>
      <w:tr w:rsidR="00025A01" w:rsidRPr="00AC72C4" w14:paraId="254C84B7" w14:textId="77777777" w:rsidTr="004D70B7">
        <w:tc>
          <w:tcPr>
            <w:tcW w:w="2947" w:type="dxa"/>
            <w:tcBorders>
              <w:top w:val="dashSmallGap" w:sz="4" w:space="0" w:color="auto"/>
              <w:left w:val="nil"/>
              <w:bottom w:val="dashSmallGap" w:sz="4" w:space="0" w:color="auto"/>
            </w:tcBorders>
            <w:shd w:val="clear" w:color="auto" w:fill="F2F2F2" w:themeFill="background1" w:themeFillShade="F2"/>
          </w:tcPr>
          <w:p w14:paraId="34F8179D" w14:textId="77777777" w:rsidR="00025A01" w:rsidRPr="00AC72C4" w:rsidRDefault="00025A01" w:rsidP="00A9351A">
            <w:pPr>
              <w:widowControl w:val="0"/>
              <w:spacing w:after="0"/>
              <w:rPr>
                <w:b/>
                <w:sz w:val="24"/>
                <w:szCs w:val="24"/>
                <w:lang w:val="en-US"/>
              </w:rPr>
            </w:pPr>
            <w:r>
              <w:rPr>
                <w:b/>
                <w:sz w:val="24"/>
                <w:szCs w:val="24"/>
                <w:lang w:val="en-US"/>
              </w:rPr>
              <w:t>STRATEGIC PRIORITIES.</w:t>
            </w:r>
          </w:p>
        </w:tc>
        <w:tc>
          <w:tcPr>
            <w:tcW w:w="9173" w:type="dxa"/>
            <w:tcBorders>
              <w:top w:val="dashSmallGap" w:sz="4" w:space="0" w:color="auto"/>
              <w:bottom w:val="dashSmallGap" w:sz="4" w:space="0" w:color="auto"/>
            </w:tcBorders>
            <w:shd w:val="clear" w:color="auto" w:fill="F2F2F2" w:themeFill="background1" w:themeFillShade="F2"/>
          </w:tcPr>
          <w:p w14:paraId="2CAEB5BB" w14:textId="77777777" w:rsidR="00025A01" w:rsidRPr="00AC72C4" w:rsidRDefault="00025A01" w:rsidP="00A9351A">
            <w:pPr>
              <w:widowControl w:val="0"/>
              <w:spacing w:after="120"/>
              <w:rPr>
                <w:b/>
                <w:sz w:val="24"/>
                <w:szCs w:val="24"/>
                <w:lang w:val="en-US"/>
              </w:rPr>
            </w:pPr>
            <w:r>
              <w:rPr>
                <w:b/>
                <w:sz w:val="24"/>
                <w:szCs w:val="24"/>
                <w:lang w:val="en-US"/>
              </w:rPr>
              <w:t>ACTIVITIES.</w:t>
            </w:r>
          </w:p>
        </w:tc>
        <w:tc>
          <w:tcPr>
            <w:tcW w:w="1730" w:type="dxa"/>
            <w:tcBorders>
              <w:top w:val="dashSmallGap" w:sz="4" w:space="0" w:color="auto"/>
              <w:bottom w:val="dashSmallGap" w:sz="4" w:space="0" w:color="auto"/>
              <w:right w:val="nil"/>
            </w:tcBorders>
            <w:shd w:val="clear" w:color="auto" w:fill="F2F2F2" w:themeFill="background1" w:themeFillShade="F2"/>
          </w:tcPr>
          <w:p w14:paraId="457E9CA7" w14:textId="77777777" w:rsidR="00025A01" w:rsidRDefault="00025A01" w:rsidP="00A9351A">
            <w:pPr>
              <w:widowControl w:val="0"/>
              <w:spacing w:after="0"/>
              <w:rPr>
                <w:b/>
                <w:sz w:val="24"/>
                <w:szCs w:val="24"/>
                <w:lang w:val="en-US"/>
              </w:rPr>
            </w:pPr>
            <w:r>
              <w:rPr>
                <w:b/>
                <w:sz w:val="24"/>
                <w:szCs w:val="24"/>
                <w:lang w:val="en-US"/>
              </w:rPr>
              <w:t>OUTCOMES.</w:t>
            </w:r>
          </w:p>
        </w:tc>
      </w:tr>
      <w:tr w:rsidR="00F34A73" w14:paraId="6FAA7412" w14:textId="77777777" w:rsidTr="004D70B7">
        <w:tblPrEx>
          <w:tblBorders>
            <w:top w:val="dashSmallGap" w:sz="4" w:space="0" w:color="auto"/>
            <w:left w:val="none" w:sz="0" w:space="0" w:color="auto"/>
            <w:bottom w:val="none" w:sz="0" w:space="0" w:color="auto"/>
            <w:right w:val="none" w:sz="0" w:space="0" w:color="auto"/>
            <w:insideH w:val="dashSmallGap" w:sz="4" w:space="0" w:color="auto"/>
            <w:insideV w:val="dashSmallGap" w:sz="4" w:space="0" w:color="auto"/>
          </w:tblBorders>
        </w:tblPrEx>
        <w:tc>
          <w:tcPr>
            <w:tcW w:w="2947" w:type="dxa"/>
            <w:tcBorders>
              <w:top w:val="dashSmallGap" w:sz="4" w:space="0" w:color="auto"/>
              <w:bottom w:val="dashSmallGap" w:sz="4" w:space="0" w:color="auto"/>
            </w:tcBorders>
            <w:shd w:val="clear" w:color="auto" w:fill="F2F2F2" w:themeFill="background1" w:themeFillShade="F2"/>
          </w:tcPr>
          <w:p w14:paraId="5D6571C4" w14:textId="77777777" w:rsidR="00F34A73" w:rsidRPr="00AC72C4" w:rsidRDefault="00F34A73" w:rsidP="00A9351A">
            <w:pPr>
              <w:widowControl w:val="0"/>
              <w:spacing w:after="0"/>
              <w:rPr>
                <w:b/>
                <w:sz w:val="24"/>
                <w:szCs w:val="24"/>
                <w:lang w:val="en-US"/>
              </w:rPr>
            </w:pPr>
            <w:r w:rsidRPr="00EC3C40">
              <w:rPr>
                <w:b/>
                <w:color w:val="B23B0F"/>
                <w:sz w:val="24"/>
                <w:szCs w:val="24"/>
                <w:lang w:val="en-US"/>
              </w:rPr>
              <w:t xml:space="preserve">Strategic Priority 5: </w:t>
            </w:r>
            <w:r w:rsidRPr="00AC72C4">
              <w:rPr>
                <w:b/>
                <w:sz w:val="24"/>
                <w:szCs w:val="24"/>
                <w:lang w:val="en-US"/>
              </w:rPr>
              <w:t xml:space="preserve">Accessible </w:t>
            </w:r>
            <w:r>
              <w:rPr>
                <w:b/>
                <w:sz w:val="24"/>
                <w:szCs w:val="24"/>
                <w:lang w:val="en-US"/>
              </w:rPr>
              <w:t xml:space="preserve">and visible </w:t>
            </w:r>
            <w:r w:rsidRPr="00AC72C4">
              <w:rPr>
                <w:b/>
                <w:sz w:val="24"/>
                <w:szCs w:val="24"/>
                <w:lang w:val="en-US"/>
              </w:rPr>
              <w:t xml:space="preserve">sector </w:t>
            </w:r>
          </w:p>
        </w:tc>
        <w:tc>
          <w:tcPr>
            <w:tcW w:w="9173" w:type="dxa"/>
            <w:tcBorders>
              <w:top w:val="dashSmallGap" w:sz="4" w:space="0" w:color="auto"/>
              <w:bottom w:val="dashSmallGap" w:sz="4" w:space="0" w:color="auto"/>
            </w:tcBorders>
          </w:tcPr>
          <w:p w14:paraId="17CA5435" w14:textId="7B3ADF41" w:rsidR="00F34A73"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encourage creative spaces to c</w:t>
            </w:r>
            <w:r w:rsidR="00F34A73" w:rsidRPr="00B82A1F">
              <w:rPr>
                <w:sz w:val="20"/>
                <w:szCs w:val="20"/>
                <w:lang w:val="en-US"/>
              </w:rPr>
              <w:t>onnect</w:t>
            </w:r>
            <w:r w:rsidR="00F34A73">
              <w:rPr>
                <w:sz w:val="20"/>
                <w:szCs w:val="20"/>
                <w:lang w:val="en-US"/>
              </w:rPr>
              <w:t xml:space="preserve"> </w:t>
            </w:r>
            <w:r w:rsidR="00F34A73" w:rsidRPr="00B82A1F">
              <w:rPr>
                <w:sz w:val="20"/>
                <w:szCs w:val="20"/>
                <w:lang w:val="en-US"/>
              </w:rPr>
              <w:t>communities of need</w:t>
            </w:r>
            <w:r w:rsidR="00F34A73">
              <w:rPr>
                <w:sz w:val="20"/>
                <w:szCs w:val="20"/>
                <w:lang w:val="en-US"/>
              </w:rPr>
              <w:t xml:space="preserve"> and creative spaces through communication, marketing, and, most critically, through comprehensive and funded outreach. </w:t>
            </w:r>
          </w:p>
          <w:p w14:paraId="480D2D3A" w14:textId="1F88D3C7" w:rsidR="00F34A73"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 xml:space="preserve">Arts Access Aotearoa to </w:t>
            </w:r>
            <w:r w:rsidR="001A7411">
              <w:rPr>
                <w:sz w:val="20"/>
                <w:szCs w:val="20"/>
                <w:lang w:val="en-US"/>
              </w:rPr>
              <w:t>s</w:t>
            </w:r>
            <w:r w:rsidR="00F34A73" w:rsidRPr="003E23B6">
              <w:rPr>
                <w:sz w:val="20"/>
                <w:szCs w:val="20"/>
                <w:lang w:val="en-US"/>
              </w:rPr>
              <w:t xml:space="preserve">upport </w:t>
            </w:r>
            <w:r w:rsidR="00F34A73">
              <w:rPr>
                <w:sz w:val="20"/>
                <w:szCs w:val="20"/>
                <w:lang w:val="en-US"/>
              </w:rPr>
              <w:t>services</w:t>
            </w:r>
            <w:r w:rsidR="00F34A73" w:rsidRPr="003E23B6">
              <w:rPr>
                <w:sz w:val="20"/>
                <w:szCs w:val="20"/>
                <w:lang w:val="en-US"/>
              </w:rPr>
              <w:t xml:space="preserve"> to strengthen relationships with communities. </w:t>
            </w:r>
          </w:p>
          <w:p w14:paraId="3C8CD7D9" w14:textId="0060A746" w:rsidR="00F34A73" w:rsidRPr="003E23B6"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 xml:space="preserve">Arts Access Aotearoa to </w:t>
            </w:r>
            <w:r w:rsidR="001A7411">
              <w:rPr>
                <w:sz w:val="20"/>
                <w:szCs w:val="20"/>
                <w:lang w:val="en-US"/>
              </w:rPr>
              <w:t>s</w:t>
            </w:r>
            <w:r w:rsidR="00F34A73">
              <w:rPr>
                <w:sz w:val="20"/>
                <w:szCs w:val="20"/>
                <w:lang w:val="en-US"/>
              </w:rPr>
              <w:t xml:space="preserve">upport creative space and art programme events. </w:t>
            </w:r>
          </w:p>
          <w:p w14:paraId="02416824" w14:textId="20D68864" w:rsidR="00F34A73"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 xml:space="preserve">Arts Access Aotearoa to </w:t>
            </w:r>
            <w:r w:rsidR="001A7411">
              <w:rPr>
                <w:sz w:val="20"/>
                <w:szCs w:val="20"/>
                <w:lang w:val="en-US"/>
              </w:rPr>
              <w:t>w</w:t>
            </w:r>
            <w:r w:rsidR="00F34A73">
              <w:rPr>
                <w:sz w:val="20"/>
                <w:szCs w:val="20"/>
                <w:lang w:val="en-US"/>
              </w:rPr>
              <w:t>ork with the health sector to increase r</w:t>
            </w:r>
            <w:r w:rsidR="00F34A73" w:rsidRPr="00B82A1F">
              <w:rPr>
                <w:sz w:val="20"/>
                <w:szCs w:val="20"/>
                <w:lang w:val="en-US"/>
              </w:rPr>
              <w:t>eferrals from health services</w:t>
            </w:r>
            <w:r w:rsidR="00F34A73">
              <w:rPr>
                <w:sz w:val="20"/>
                <w:szCs w:val="20"/>
                <w:lang w:val="en-US"/>
              </w:rPr>
              <w:t xml:space="preserve"> to creative spaces and art programmes (‘arts prescription’).</w:t>
            </w:r>
            <w:r w:rsidR="00F34A73" w:rsidRPr="00B82A1F">
              <w:rPr>
                <w:sz w:val="20"/>
                <w:szCs w:val="20"/>
                <w:lang w:val="en-US"/>
              </w:rPr>
              <w:t xml:space="preserve"> </w:t>
            </w:r>
          </w:p>
          <w:p w14:paraId="2244EB6C" w14:textId="1C93B102" w:rsidR="00F34A73"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support creative spaces to a</w:t>
            </w:r>
            <w:r w:rsidR="00F34A73">
              <w:rPr>
                <w:sz w:val="20"/>
                <w:szCs w:val="20"/>
                <w:lang w:val="en-US"/>
              </w:rPr>
              <w:t>lign with Arts Access Aotearoa’s ‘Flightdec’ CMS and other platforms to increase online presence.</w:t>
            </w:r>
          </w:p>
          <w:p w14:paraId="49084682" w14:textId="6816F70A" w:rsidR="00F34A73" w:rsidRPr="00B82A1F" w:rsidRDefault="00025A01" w:rsidP="00A02BD6">
            <w:pPr>
              <w:pStyle w:val="ListParagraph"/>
              <w:widowControl w:val="0"/>
              <w:numPr>
                <w:ilvl w:val="0"/>
                <w:numId w:val="4"/>
              </w:numPr>
              <w:spacing w:after="60"/>
              <w:ind w:left="357" w:hanging="357"/>
              <w:contextualSpacing w:val="0"/>
              <w:rPr>
                <w:sz w:val="20"/>
                <w:szCs w:val="20"/>
                <w:lang w:val="en-US"/>
              </w:rPr>
            </w:pPr>
            <w:r>
              <w:rPr>
                <w:sz w:val="20"/>
                <w:szCs w:val="20"/>
                <w:lang w:val="en-US"/>
              </w:rPr>
              <w:t>Arts Access Aotearoa to u</w:t>
            </w:r>
            <w:r w:rsidR="00F34A73">
              <w:rPr>
                <w:sz w:val="20"/>
                <w:szCs w:val="20"/>
                <w:lang w:val="en-US"/>
              </w:rPr>
              <w:t xml:space="preserve">pskill </w:t>
            </w:r>
            <w:r>
              <w:rPr>
                <w:sz w:val="20"/>
                <w:szCs w:val="20"/>
                <w:lang w:val="en-US"/>
              </w:rPr>
              <w:t xml:space="preserve">creative spaces </w:t>
            </w:r>
            <w:r w:rsidR="00F34A73">
              <w:rPr>
                <w:sz w:val="20"/>
                <w:szCs w:val="20"/>
                <w:lang w:val="en-US"/>
              </w:rPr>
              <w:t xml:space="preserve">in </w:t>
            </w:r>
            <w:r>
              <w:rPr>
                <w:sz w:val="20"/>
                <w:szCs w:val="20"/>
                <w:lang w:val="en-US"/>
              </w:rPr>
              <w:t xml:space="preserve">the </w:t>
            </w:r>
            <w:r w:rsidR="00F34A73">
              <w:rPr>
                <w:sz w:val="20"/>
                <w:szCs w:val="20"/>
                <w:lang w:val="en-US"/>
              </w:rPr>
              <w:t xml:space="preserve">use of social media to increase </w:t>
            </w:r>
            <w:r>
              <w:rPr>
                <w:sz w:val="20"/>
                <w:szCs w:val="20"/>
                <w:lang w:val="en-US"/>
              </w:rPr>
              <w:t xml:space="preserve">their </w:t>
            </w:r>
            <w:r w:rsidR="00F34A73">
              <w:rPr>
                <w:sz w:val="20"/>
                <w:szCs w:val="20"/>
                <w:lang w:val="en-US"/>
              </w:rPr>
              <w:t xml:space="preserve">profile and visibility. </w:t>
            </w:r>
          </w:p>
        </w:tc>
        <w:tc>
          <w:tcPr>
            <w:tcW w:w="1730" w:type="dxa"/>
            <w:tcBorders>
              <w:top w:val="dashSmallGap" w:sz="4" w:space="0" w:color="auto"/>
              <w:bottom w:val="dashSmallGap" w:sz="4" w:space="0" w:color="auto"/>
            </w:tcBorders>
          </w:tcPr>
          <w:p w14:paraId="5D85C384" w14:textId="77777777" w:rsidR="00F34A73" w:rsidRPr="00F37518" w:rsidRDefault="00F34A73" w:rsidP="00A9351A">
            <w:pPr>
              <w:widowControl w:val="0"/>
              <w:spacing w:after="60"/>
              <w:rPr>
                <w:sz w:val="20"/>
                <w:szCs w:val="20"/>
                <w:lang w:val="en-US"/>
              </w:rPr>
            </w:pPr>
            <w:r>
              <w:rPr>
                <w:sz w:val="20"/>
                <w:szCs w:val="20"/>
                <w:lang w:val="en-US"/>
              </w:rPr>
              <w:t xml:space="preserve">Enhanced effectiveness. </w:t>
            </w:r>
          </w:p>
        </w:tc>
      </w:tr>
    </w:tbl>
    <w:p w14:paraId="692E4A28" w14:textId="77777777" w:rsidR="00F34A73" w:rsidRDefault="00F34A73" w:rsidP="00F34A73">
      <w:pPr>
        <w:pStyle w:val="Heading1"/>
        <w:keepNext w:val="0"/>
        <w:keepLines w:val="0"/>
        <w:widowControl w:val="0"/>
        <w:spacing w:before="120" w:after="120" w:line="276" w:lineRule="auto"/>
        <w:rPr>
          <w:rFonts w:ascii="Century Gothic" w:hAnsi="Century Gothic"/>
        </w:rPr>
      </w:pPr>
      <w:r>
        <w:rPr>
          <w:rFonts w:ascii="Century Gothic" w:hAnsi="Century Gothic"/>
        </w:rPr>
        <w:br w:type="column"/>
      </w:r>
    </w:p>
    <w:p w14:paraId="7933BD90" w14:textId="561B1CD7" w:rsidR="00F34A73" w:rsidRPr="003628FF" w:rsidRDefault="00F34A73" w:rsidP="00F34A73">
      <w:pPr>
        <w:pStyle w:val="Heading1"/>
        <w:keepNext w:val="0"/>
        <w:keepLines w:val="0"/>
        <w:widowControl w:val="0"/>
        <w:spacing w:before="120" w:after="120" w:line="276" w:lineRule="auto"/>
        <w:rPr>
          <w:rFonts w:ascii="Century Gothic" w:hAnsi="Century Gothic"/>
          <w:color w:val="auto"/>
        </w:rPr>
      </w:pPr>
      <w:bookmarkStart w:id="13" w:name="_Toc54711602"/>
      <w:bookmarkStart w:id="14" w:name="_Toc54870900"/>
      <w:r w:rsidRPr="003628FF">
        <w:rPr>
          <w:rFonts w:ascii="Century Gothic" w:hAnsi="Century Gothic"/>
          <w:color w:val="auto"/>
        </w:rPr>
        <w:t>Appendix 1: Summary of vision</w:t>
      </w:r>
      <w:r>
        <w:rPr>
          <w:rFonts w:ascii="Century Gothic" w:hAnsi="Century Gothic"/>
          <w:color w:val="auto"/>
        </w:rPr>
        <w:t>,</w:t>
      </w:r>
      <w:r w:rsidRPr="003628FF">
        <w:rPr>
          <w:rFonts w:ascii="Century Gothic" w:hAnsi="Century Gothic"/>
          <w:color w:val="auto"/>
        </w:rPr>
        <w:t xml:space="preserve"> p</w:t>
      </w:r>
      <w:r>
        <w:rPr>
          <w:rFonts w:ascii="Century Gothic" w:hAnsi="Century Gothic"/>
          <w:color w:val="auto"/>
        </w:rPr>
        <w:t>u</w:t>
      </w:r>
      <w:r w:rsidRPr="003628FF">
        <w:rPr>
          <w:rFonts w:ascii="Century Gothic" w:hAnsi="Century Gothic"/>
          <w:color w:val="auto"/>
        </w:rPr>
        <w:t>rpose and values of organisations supporting this Strategic Plan</w:t>
      </w:r>
      <w:bookmarkEnd w:id="13"/>
      <w:bookmarkEnd w:id="14"/>
      <w:r w:rsidRPr="003628FF">
        <w:rPr>
          <w:rFonts w:ascii="Century Gothic" w:hAnsi="Century Gothic"/>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452"/>
        <w:gridCol w:w="2835"/>
        <w:gridCol w:w="6663"/>
      </w:tblGrid>
      <w:tr w:rsidR="0021290F" w:rsidRPr="0021290F" w14:paraId="5AEC61A7" w14:textId="77777777" w:rsidTr="00A9351A">
        <w:tc>
          <w:tcPr>
            <w:tcW w:w="1517" w:type="dxa"/>
            <w:tcBorders>
              <w:bottom w:val="single" w:sz="4" w:space="0" w:color="auto"/>
            </w:tcBorders>
            <w:shd w:val="clear" w:color="auto" w:fill="F2F2F2" w:themeFill="background1" w:themeFillShade="F2"/>
          </w:tcPr>
          <w:p w14:paraId="50FC3439" w14:textId="77777777" w:rsidR="00F34A73" w:rsidRPr="00EC3C40" w:rsidRDefault="00F34A73" w:rsidP="00A9351A">
            <w:pPr>
              <w:widowControl w:val="0"/>
              <w:spacing w:before="120" w:after="120" w:line="240" w:lineRule="auto"/>
              <w:rPr>
                <w:b/>
                <w:color w:val="B23B0F"/>
                <w:lang w:val="en-US"/>
              </w:rPr>
            </w:pPr>
          </w:p>
        </w:tc>
        <w:tc>
          <w:tcPr>
            <w:tcW w:w="2452" w:type="dxa"/>
            <w:tcBorders>
              <w:bottom w:val="single" w:sz="4" w:space="0" w:color="auto"/>
            </w:tcBorders>
            <w:shd w:val="clear" w:color="auto" w:fill="F2F2F2" w:themeFill="background1" w:themeFillShade="F2"/>
          </w:tcPr>
          <w:p w14:paraId="766C52BC" w14:textId="77777777" w:rsidR="00F34A73" w:rsidRPr="00EC3C40" w:rsidRDefault="00F34A73" w:rsidP="00A9351A">
            <w:pPr>
              <w:widowControl w:val="0"/>
              <w:spacing w:before="120" w:after="120" w:line="360" w:lineRule="auto"/>
              <w:jc w:val="center"/>
              <w:rPr>
                <w:b/>
                <w:color w:val="B23B0F"/>
                <w:sz w:val="24"/>
                <w:szCs w:val="24"/>
                <w:lang w:val="en-US"/>
              </w:rPr>
            </w:pPr>
            <w:r w:rsidRPr="00EC3C40">
              <w:rPr>
                <w:b/>
                <w:color w:val="B23B0F"/>
                <w:sz w:val="24"/>
                <w:szCs w:val="24"/>
                <w:lang w:val="en-US"/>
              </w:rPr>
              <w:t>Vision</w:t>
            </w:r>
          </w:p>
        </w:tc>
        <w:tc>
          <w:tcPr>
            <w:tcW w:w="2835" w:type="dxa"/>
            <w:tcBorders>
              <w:bottom w:val="single" w:sz="4" w:space="0" w:color="auto"/>
            </w:tcBorders>
            <w:shd w:val="clear" w:color="auto" w:fill="F2F2F2" w:themeFill="background1" w:themeFillShade="F2"/>
          </w:tcPr>
          <w:p w14:paraId="34AEE2F2" w14:textId="77777777" w:rsidR="00F34A73" w:rsidRPr="00EC3C40" w:rsidRDefault="00F34A73" w:rsidP="00A9351A">
            <w:pPr>
              <w:widowControl w:val="0"/>
              <w:spacing w:before="120" w:after="120" w:line="360" w:lineRule="auto"/>
              <w:jc w:val="center"/>
              <w:rPr>
                <w:b/>
                <w:color w:val="B23B0F"/>
                <w:sz w:val="24"/>
                <w:szCs w:val="24"/>
                <w:lang w:val="en-US"/>
              </w:rPr>
            </w:pPr>
            <w:r w:rsidRPr="00EC3C40">
              <w:rPr>
                <w:b/>
                <w:color w:val="B23B0F"/>
                <w:sz w:val="24"/>
                <w:szCs w:val="24"/>
                <w:lang w:val="en-US"/>
              </w:rPr>
              <w:t>Purpose</w:t>
            </w:r>
          </w:p>
        </w:tc>
        <w:tc>
          <w:tcPr>
            <w:tcW w:w="6663" w:type="dxa"/>
            <w:tcBorders>
              <w:bottom w:val="single" w:sz="4" w:space="0" w:color="auto"/>
            </w:tcBorders>
            <w:shd w:val="clear" w:color="auto" w:fill="F2F2F2" w:themeFill="background1" w:themeFillShade="F2"/>
          </w:tcPr>
          <w:p w14:paraId="34452014" w14:textId="77777777" w:rsidR="00F34A73" w:rsidRPr="00EC3C40" w:rsidRDefault="00F34A73" w:rsidP="00A9351A">
            <w:pPr>
              <w:widowControl w:val="0"/>
              <w:spacing w:before="120" w:after="120" w:line="360" w:lineRule="auto"/>
              <w:jc w:val="center"/>
              <w:rPr>
                <w:b/>
                <w:color w:val="B23B0F"/>
                <w:sz w:val="24"/>
                <w:szCs w:val="24"/>
                <w:lang w:val="en-US"/>
              </w:rPr>
            </w:pPr>
            <w:r w:rsidRPr="00EC3C40">
              <w:rPr>
                <w:b/>
                <w:color w:val="B23B0F"/>
                <w:sz w:val="24"/>
                <w:szCs w:val="24"/>
                <w:lang w:val="en-US"/>
              </w:rPr>
              <w:t>Values</w:t>
            </w:r>
          </w:p>
        </w:tc>
      </w:tr>
      <w:tr w:rsidR="00F34A73" w:rsidRPr="00B82A1F" w14:paraId="0845505B" w14:textId="77777777" w:rsidTr="00A9351A">
        <w:trPr>
          <w:trHeight w:val="1624"/>
        </w:trPr>
        <w:tc>
          <w:tcPr>
            <w:tcW w:w="1517" w:type="dxa"/>
            <w:tcBorders>
              <w:top w:val="single" w:sz="4" w:space="0" w:color="auto"/>
              <w:bottom w:val="single" w:sz="4" w:space="0" w:color="auto"/>
            </w:tcBorders>
            <w:shd w:val="clear" w:color="auto" w:fill="F2F2F2" w:themeFill="background1" w:themeFillShade="F2"/>
          </w:tcPr>
          <w:p w14:paraId="396B1AF6" w14:textId="77777777" w:rsidR="00F34A73" w:rsidRPr="00EC3C40" w:rsidRDefault="00F34A73" w:rsidP="00A9351A">
            <w:pPr>
              <w:widowControl w:val="0"/>
              <w:spacing w:after="0" w:line="240" w:lineRule="auto"/>
              <w:rPr>
                <w:b/>
                <w:color w:val="B23B0F"/>
                <w:sz w:val="24"/>
                <w:szCs w:val="24"/>
                <w:lang w:val="en-US"/>
              </w:rPr>
            </w:pPr>
            <w:r w:rsidRPr="00EC3C40">
              <w:rPr>
                <w:b/>
                <w:color w:val="B23B0F"/>
                <w:sz w:val="24"/>
                <w:szCs w:val="24"/>
                <w:lang w:val="en-US"/>
              </w:rPr>
              <w:t>Arts Access Aotearoa</w:t>
            </w:r>
          </w:p>
        </w:tc>
        <w:tc>
          <w:tcPr>
            <w:tcW w:w="2452" w:type="dxa"/>
            <w:tcBorders>
              <w:top w:val="single" w:sz="4" w:space="0" w:color="auto"/>
              <w:bottom w:val="single" w:sz="4" w:space="0" w:color="auto"/>
            </w:tcBorders>
          </w:tcPr>
          <w:p w14:paraId="5CF61A4B" w14:textId="77777777" w:rsidR="00F34A73" w:rsidRPr="00F37518" w:rsidRDefault="00F34A73" w:rsidP="00A9351A">
            <w:pPr>
              <w:pStyle w:val="NormalWeb"/>
              <w:widowControl w:val="0"/>
              <w:spacing w:before="0" w:beforeAutospacing="0" w:after="0" w:afterAutospacing="0"/>
              <w:rPr>
                <w:rFonts w:ascii="Century Gothic" w:hAnsi="Century Gothic"/>
                <w:sz w:val="20"/>
                <w:szCs w:val="20"/>
              </w:rPr>
            </w:pPr>
            <w:r w:rsidRPr="00F37518">
              <w:rPr>
                <w:rFonts w:ascii="Century Gothic" w:hAnsi="Century Gothic"/>
                <w:sz w:val="20"/>
                <w:szCs w:val="20"/>
              </w:rPr>
              <w:t>All people in Aotearoa can access and participate in the arts.</w:t>
            </w:r>
          </w:p>
          <w:p w14:paraId="685BA1A9" w14:textId="77777777" w:rsidR="00F34A73" w:rsidRPr="00F37518" w:rsidRDefault="00F34A73" w:rsidP="00A9351A">
            <w:pPr>
              <w:widowControl w:val="0"/>
              <w:spacing w:after="0" w:line="240" w:lineRule="auto"/>
              <w:rPr>
                <w:sz w:val="20"/>
                <w:szCs w:val="20"/>
                <w:lang w:val="en-US"/>
              </w:rPr>
            </w:pPr>
          </w:p>
        </w:tc>
        <w:tc>
          <w:tcPr>
            <w:tcW w:w="2835" w:type="dxa"/>
            <w:tcBorders>
              <w:top w:val="single" w:sz="4" w:space="0" w:color="auto"/>
              <w:bottom w:val="single" w:sz="4" w:space="0" w:color="auto"/>
            </w:tcBorders>
          </w:tcPr>
          <w:p w14:paraId="1E55B83F" w14:textId="77777777" w:rsidR="00F34A73" w:rsidRPr="00F37518" w:rsidRDefault="00F34A73" w:rsidP="00A9351A">
            <w:pPr>
              <w:pStyle w:val="NormalWeb"/>
              <w:widowControl w:val="0"/>
              <w:spacing w:before="0" w:beforeAutospacing="0" w:after="0" w:afterAutospacing="0"/>
              <w:rPr>
                <w:rFonts w:ascii="Century Gothic" w:hAnsi="Century Gothic"/>
                <w:sz w:val="20"/>
                <w:szCs w:val="20"/>
              </w:rPr>
            </w:pPr>
            <w:r w:rsidRPr="00F37518">
              <w:rPr>
                <w:rFonts w:ascii="Century Gothic" w:hAnsi="Century Gothic"/>
                <w:sz w:val="20"/>
                <w:szCs w:val="20"/>
              </w:rPr>
              <w:t>Work in partnership to increase access to the arts for people in Aotearoa who experience barriers to participation.</w:t>
            </w:r>
          </w:p>
        </w:tc>
        <w:tc>
          <w:tcPr>
            <w:tcW w:w="6663" w:type="dxa"/>
            <w:tcBorders>
              <w:top w:val="single" w:sz="4" w:space="0" w:color="auto"/>
              <w:bottom w:val="single" w:sz="4" w:space="0" w:color="auto"/>
            </w:tcBorders>
          </w:tcPr>
          <w:p w14:paraId="598A1949" w14:textId="77777777" w:rsidR="00F34A73" w:rsidRPr="00F37518" w:rsidRDefault="00F34A73" w:rsidP="00A9351A">
            <w:pPr>
              <w:widowControl w:val="0"/>
              <w:spacing w:after="120" w:line="240" w:lineRule="auto"/>
              <w:rPr>
                <w:b/>
                <w:bCs/>
                <w:sz w:val="20"/>
                <w:szCs w:val="20"/>
              </w:rPr>
            </w:pPr>
            <w:r w:rsidRPr="00F37518">
              <w:rPr>
                <w:b/>
                <w:bCs/>
                <w:sz w:val="20"/>
                <w:szCs w:val="20"/>
              </w:rPr>
              <w:t>Accessibility and inclusion in the arts, respect, and kindness in our undertakings for and with all people.</w:t>
            </w:r>
          </w:p>
          <w:p w14:paraId="21F8DB8A" w14:textId="77777777" w:rsidR="00F34A73" w:rsidRPr="00F37518" w:rsidRDefault="00F34A73" w:rsidP="00A9351A">
            <w:pPr>
              <w:widowControl w:val="0"/>
              <w:spacing w:after="120" w:line="240" w:lineRule="auto"/>
              <w:rPr>
                <w:sz w:val="20"/>
                <w:szCs w:val="20"/>
              </w:rPr>
            </w:pPr>
            <w:r w:rsidRPr="00F37518">
              <w:rPr>
                <w:sz w:val="20"/>
                <w:szCs w:val="20"/>
              </w:rPr>
              <w:t xml:space="preserve">The importance of </w:t>
            </w:r>
            <w:r w:rsidRPr="00F37518">
              <w:rPr>
                <w:b/>
                <w:bCs/>
                <w:sz w:val="20"/>
                <w:szCs w:val="20"/>
              </w:rPr>
              <w:t>Te Tiriti o Waitangi</w:t>
            </w:r>
            <w:r w:rsidRPr="00F37518">
              <w:rPr>
                <w:sz w:val="20"/>
                <w:szCs w:val="20"/>
              </w:rPr>
              <w:t xml:space="preserve"> to the Kaupapa of Arts Access Aotearoa, with due regard for Te Tiriti's articles and principles.</w:t>
            </w:r>
          </w:p>
          <w:p w14:paraId="630B04B0"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Mōhiotanga</w:t>
            </w:r>
            <w:r w:rsidRPr="00F37518">
              <w:rPr>
                <w:rFonts w:eastAsia="Times New Roman" w:cs="Times New Roman"/>
                <w:sz w:val="20"/>
                <w:szCs w:val="20"/>
                <w:lang w:eastAsia="en-NZ"/>
              </w:rPr>
              <w:t xml:space="preserve"> - seeking understanding and awareness.</w:t>
            </w:r>
          </w:p>
          <w:p w14:paraId="38BFBFAF"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Rangatiratanga</w:t>
            </w:r>
            <w:r w:rsidRPr="00F37518">
              <w:rPr>
                <w:rFonts w:eastAsia="Times New Roman" w:cs="Times New Roman"/>
                <w:sz w:val="20"/>
                <w:szCs w:val="20"/>
                <w:lang w:eastAsia="en-NZ"/>
              </w:rPr>
              <w:t xml:space="preserve"> – respecting the mana of others.</w:t>
            </w:r>
          </w:p>
          <w:p w14:paraId="2F297E0F"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Whanaungatanga</w:t>
            </w:r>
            <w:r w:rsidRPr="00F37518">
              <w:rPr>
                <w:rFonts w:eastAsia="Times New Roman" w:cs="Times New Roman"/>
                <w:sz w:val="20"/>
                <w:szCs w:val="20"/>
                <w:lang w:eastAsia="en-NZ"/>
              </w:rPr>
              <w:t xml:space="preserve"> – appreciating the value of relationships and partnerships.</w:t>
            </w:r>
          </w:p>
          <w:p w14:paraId="65D5C4FD"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Kotahitanga</w:t>
            </w:r>
            <w:r w:rsidRPr="00F37518">
              <w:rPr>
                <w:rFonts w:eastAsia="Times New Roman" w:cs="Times New Roman"/>
                <w:sz w:val="20"/>
                <w:szCs w:val="20"/>
                <w:lang w:eastAsia="en-NZ"/>
              </w:rPr>
              <w:t xml:space="preserve"> – working in harmony to achieve common purpose and shared vision.</w:t>
            </w:r>
          </w:p>
          <w:p w14:paraId="54F2F8F2"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Kaitiakitanga</w:t>
            </w:r>
            <w:r w:rsidRPr="00F37518">
              <w:rPr>
                <w:rFonts w:eastAsia="Times New Roman" w:cs="Times New Roman"/>
                <w:sz w:val="20"/>
                <w:szCs w:val="20"/>
                <w:lang w:eastAsia="en-NZ"/>
              </w:rPr>
              <w:t xml:space="preserve"> – service to others and nurturing leadership within others.</w:t>
            </w:r>
          </w:p>
        </w:tc>
      </w:tr>
      <w:tr w:rsidR="00F34A73" w:rsidRPr="00B82A1F" w14:paraId="6570B570" w14:textId="77777777" w:rsidTr="00A9351A">
        <w:tc>
          <w:tcPr>
            <w:tcW w:w="1517" w:type="dxa"/>
            <w:tcBorders>
              <w:top w:val="single" w:sz="4" w:space="0" w:color="auto"/>
              <w:bottom w:val="single" w:sz="4" w:space="0" w:color="auto"/>
            </w:tcBorders>
            <w:shd w:val="clear" w:color="auto" w:fill="F2F2F2" w:themeFill="background1" w:themeFillShade="F2"/>
          </w:tcPr>
          <w:p w14:paraId="662870DF" w14:textId="77777777" w:rsidR="00F34A73" w:rsidRPr="00EC3C40" w:rsidRDefault="00F34A73" w:rsidP="00A9351A">
            <w:pPr>
              <w:widowControl w:val="0"/>
              <w:spacing w:after="0" w:line="240" w:lineRule="auto"/>
              <w:rPr>
                <w:b/>
                <w:color w:val="B23B0F"/>
                <w:sz w:val="24"/>
                <w:szCs w:val="24"/>
                <w:lang w:val="en-US"/>
              </w:rPr>
            </w:pPr>
            <w:r w:rsidRPr="00EC3C40">
              <w:rPr>
                <w:b/>
                <w:color w:val="B23B0F"/>
                <w:sz w:val="24"/>
                <w:szCs w:val="24"/>
                <w:lang w:val="en-US"/>
              </w:rPr>
              <w:t xml:space="preserve">Foundation North </w:t>
            </w:r>
          </w:p>
        </w:tc>
        <w:tc>
          <w:tcPr>
            <w:tcW w:w="2452" w:type="dxa"/>
            <w:tcBorders>
              <w:top w:val="single" w:sz="4" w:space="0" w:color="auto"/>
              <w:bottom w:val="single" w:sz="4" w:space="0" w:color="auto"/>
            </w:tcBorders>
          </w:tcPr>
          <w:p w14:paraId="387F1598" w14:textId="77777777" w:rsidR="00F34A73" w:rsidRPr="00F37518" w:rsidRDefault="00F34A73" w:rsidP="00A9351A">
            <w:pPr>
              <w:widowControl w:val="0"/>
              <w:rPr>
                <w:sz w:val="20"/>
                <w:szCs w:val="20"/>
              </w:rPr>
            </w:pPr>
            <w:r w:rsidRPr="00F37518">
              <w:rPr>
                <w:sz w:val="20"/>
                <w:szCs w:val="20"/>
              </w:rPr>
              <w:t>Support for the communities of today, to shape the communities of tomorrow.</w:t>
            </w:r>
          </w:p>
        </w:tc>
        <w:tc>
          <w:tcPr>
            <w:tcW w:w="2835" w:type="dxa"/>
            <w:tcBorders>
              <w:top w:val="single" w:sz="4" w:space="0" w:color="auto"/>
              <w:bottom w:val="single" w:sz="4" w:space="0" w:color="auto"/>
            </w:tcBorders>
          </w:tcPr>
          <w:p w14:paraId="7E6C4859" w14:textId="77777777" w:rsidR="00F34A73" w:rsidRPr="00F37518" w:rsidRDefault="00F34A73" w:rsidP="00A9351A">
            <w:pPr>
              <w:widowControl w:val="0"/>
              <w:spacing w:after="0" w:line="240" w:lineRule="auto"/>
              <w:rPr>
                <w:sz w:val="20"/>
                <w:szCs w:val="20"/>
                <w:lang w:val="en-US"/>
              </w:rPr>
            </w:pPr>
            <w:r w:rsidRPr="00F37518">
              <w:rPr>
                <w:sz w:val="20"/>
                <w:szCs w:val="20"/>
              </w:rPr>
              <w:t xml:space="preserve">To enhance the lives of people in the Auckland and Northland regions. </w:t>
            </w:r>
          </w:p>
        </w:tc>
        <w:tc>
          <w:tcPr>
            <w:tcW w:w="6663" w:type="dxa"/>
            <w:tcBorders>
              <w:top w:val="single" w:sz="4" w:space="0" w:color="auto"/>
              <w:bottom w:val="single" w:sz="4" w:space="0" w:color="auto"/>
            </w:tcBorders>
          </w:tcPr>
          <w:p w14:paraId="1B208043" w14:textId="77777777" w:rsidR="00F34A73" w:rsidRPr="00F37518" w:rsidRDefault="00F34A73" w:rsidP="00A9351A">
            <w:pPr>
              <w:pStyle w:val="NormalWeb"/>
              <w:widowControl w:val="0"/>
              <w:spacing w:before="0" w:beforeAutospacing="0" w:after="120" w:afterAutospacing="0"/>
              <w:rPr>
                <w:rStyle w:val="Strong"/>
                <w:rFonts w:ascii="Century Gothic" w:hAnsi="Century Gothic"/>
                <w:b w:val="0"/>
              </w:rPr>
            </w:pPr>
            <w:r w:rsidRPr="00F37518">
              <w:rPr>
                <w:rStyle w:val="Strong"/>
                <w:rFonts w:ascii="Century Gothic" w:hAnsi="Century Gothic"/>
              </w:rPr>
              <w:t>Hāpai te ōritetanga - Increased Equity.</w:t>
            </w:r>
          </w:p>
          <w:p w14:paraId="48E53C9E" w14:textId="77777777" w:rsidR="00F34A73" w:rsidRPr="00F37518" w:rsidRDefault="00F34A73" w:rsidP="00A9351A">
            <w:pPr>
              <w:pStyle w:val="NormalWeb"/>
              <w:widowControl w:val="0"/>
              <w:spacing w:before="0" w:beforeAutospacing="0" w:after="120" w:afterAutospacing="0"/>
              <w:rPr>
                <w:rStyle w:val="Strong"/>
                <w:rFonts w:ascii="Century Gothic" w:hAnsi="Century Gothic"/>
                <w:b w:val="0"/>
              </w:rPr>
            </w:pPr>
            <w:r w:rsidRPr="00F37518">
              <w:rPr>
                <w:rStyle w:val="Strong"/>
                <w:rFonts w:ascii="Century Gothic" w:hAnsi="Century Gothic"/>
              </w:rPr>
              <w:t>Whakauru mai - Social Inclusion.</w:t>
            </w:r>
          </w:p>
          <w:p w14:paraId="1D534EAB" w14:textId="77777777" w:rsidR="00F34A73" w:rsidRPr="00F37518" w:rsidRDefault="00F34A73" w:rsidP="00A9351A">
            <w:pPr>
              <w:pStyle w:val="NormalWeb"/>
              <w:widowControl w:val="0"/>
              <w:spacing w:before="0" w:beforeAutospacing="0" w:after="120" w:afterAutospacing="0"/>
              <w:rPr>
                <w:rStyle w:val="Strong"/>
                <w:rFonts w:ascii="Century Gothic" w:hAnsi="Century Gothic"/>
                <w:b w:val="0"/>
              </w:rPr>
            </w:pPr>
            <w:r w:rsidRPr="00F37518">
              <w:rPr>
                <w:rStyle w:val="Strong"/>
                <w:rFonts w:ascii="Century Gothic" w:hAnsi="Century Gothic"/>
              </w:rPr>
              <w:t>Whakahou taiao - Regenerative Environment.</w:t>
            </w:r>
          </w:p>
          <w:p w14:paraId="1FFDC4B9" w14:textId="77777777" w:rsidR="00F34A73" w:rsidRPr="00F37518" w:rsidRDefault="00F34A73" w:rsidP="00A9351A">
            <w:pPr>
              <w:pStyle w:val="NormalWeb"/>
              <w:widowControl w:val="0"/>
              <w:spacing w:before="0" w:beforeAutospacing="0" w:after="120" w:afterAutospacing="0"/>
              <w:rPr>
                <w:rFonts w:ascii="Century Gothic" w:hAnsi="Century Gothic"/>
                <w:sz w:val="20"/>
                <w:szCs w:val="20"/>
              </w:rPr>
            </w:pPr>
            <w:r w:rsidRPr="00F37518">
              <w:rPr>
                <w:rStyle w:val="Strong"/>
                <w:rFonts w:ascii="Century Gothic" w:hAnsi="Century Gothic"/>
              </w:rPr>
              <w:t>Hāpori awhina - Community Support.</w:t>
            </w:r>
          </w:p>
        </w:tc>
      </w:tr>
      <w:tr w:rsidR="00F34A73" w:rsidRPr="00B82A1F" w14:paraId="20AAC599" w14:textId="77777777" w:rsidTr="00A9351A">
        <w:tc>
          <w:tcPr>
            <w:tcW w:w="1517" w:type="dxa"/>
            <w:tcBorders>
              <w:top w:val="single" w:sz="4" w:space="0" w:color="auto"/>
              <w:bottom w:val="single" w:sz="4" w:space="0" w:color="auto"/>
            </w:tcBorders>
            <w:shd w:val="clear" w:color="auto" w:fill="F2F2F2" w:themeFill="background1" w:themeFillShade="F2"/>
          </w:tcPr>
          <w:p w14:paraId="2FED676D" w14:textId="77777777" w:rsidR="00F34A73" w:rsidRPr="0021290F" w:rsidRDefault="00F34A73" w:rsidP="00A9351A">
            <w:pPr>
              <w:widowControl w:val="0"/>
              <w:spacing w:after="0" w:line="240" w:lineRule="auto"/>
              <w:rPr>
                <w:b/>
                <w:color w:val="C45911" w:themeColor="accent2" w:themeShade="BF"/>
                <w:sz w:val="24"/>
                <w:szCs w:val="24"/>
                <w:lang w:val="en-US"/>
              </w:rPr>
            </w:pPr>
            <w:r w:rsidRPr="00EC3C40">
              <w:rPr>
                <w:b/>
                <w:color w:val="B23B0F"/>
                <w:sz w:val="24"/>
                <w:szCs w:val="24"/>
                <w:lang w:val="en-US"/>
              </w:rPr>
              <w:t xml:space="preserve">Auckland Council </w:t>
            </w:r>
          </w:p>
        </w:tc>
        <w:tc>
          <w:tcPr>
            <w:tcW w:w="2452" w:type="dxa"/>
            <w:tcBorders>
              <w:top w:val="single" w:sz="4" w:space="0" w:color="auto"/>
              <w:bottom w:val="single" w:sz="4" w:space="0" w:color="auto"/>
            </w:tcBorders>
          </w:tcPr>
          <w:p w14:paraId="41A57CFD" w14:textId="77777777" w:rsidR="00F34A73" w:rsidRPr="00F37518" w:rsidRDefault="00F34A73" w:rsidP="00A9351A">
            <w:pPr>
              <w:widowControl w:val="0"/>
              <w:spacing w:after="0" w:line="240" w:lineRule="auto"/>
              <w:rPr>
                <w:sz w:val="20"/>
                <w:szCs w:val="20"/>
                <w:lang w:val="en-US"/>
              </w:rPr>
            </w:pPr>
            <w:r w:rsidRPr="00F37518">
              <w:rPr>
                <w:sz w:val="20"/>
                <w:szCs w:val="20"/>
                <w:lang w:val="en-US"/>
              </w:rPr>
              <w:t>World’s most livable city.</w:t>
            </w:r>
          </w:p>
        </w:tc>
        <w:tc>
          <w:tcPr>
            <w:tcW w:w="2835" w:type="dxa"/>
            <w:tcBorders>
              <w:top w:val="single" w:sz="4" w:space="0" w:color="auto"/>
              <w:bottom w:val="single" w:sz="4" w:space="0" w:color="auto"/>
            </w:tcBorders>
          </w:tcPr>
          <w:p w14:paraId="04B8DF30" w14:textId="77777777" w:rsidR="00F34A73" w:rsidRPr="00F37518" w:rsidRDefault="00F34A73" w:rsidP="00A9351A">
            <w:pPr>
              <w:widowControl w:val="0"/>
              <w:spacing w:after="0" w:line="240" w:lineRule="auto"/>
              <w:rPr>
                <w:sz w:val="20"/>
                <w:szCs w:val="20"/>
                <w:lang w:val="en-US"/>
              </w:rPr>
            </w:pPr>
            <w:r w:rsidRPr="00F37518">
              <w:rPr>
                <w:sz w:val="20"/>
                <w:szCs w:val="20"/>
              </w:rPr>
              <w:t>With respect to arts in the community, recognise the value of arts, culture, sports, and recreation to quality of life.</w:t>
            </w:r>
          </w:p>
        </w:tc>
        <w:tc>
          <w:tcPr>
            <w:tcW w:w="6663" w:type="dxa"/>
            <w:tcBorders>
              <w:top w:val="single" w:sz="4" w:space="0" w:color="auto"/>
              <w:bottom w:val="single" w:sz="4" w:space="0" w:color="auto"/>
            </w:tcBorders>
          </w:tcPr>
          <w:p w14:paraId="4356EFC8"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Atawhai</w:t>
            </w:r>
            <w:r w:rsidRPr="00F37518">
              <w:rPr>
                <w:rFonts w:eastAsia="Times New Roman" w:cs="Times New Roman"/>
                <w:sz w:val="20"/>
                <w:szCs w:val="20"/>
                <w:lang w:eastAsia="en-NZ"/>
              </w:rPr>
              <w:t xml:space="preserve"> - Kindness, generosity.</w:t>
            </w:r>
          </w:p>
          <w:p w14:paraId="7939A019"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Kotahi</w:t>
            </w:r>
            <w:r w:rsidRPr="00F37518">
              <w:rPr>
                <w:rFonts w:eastAsia="Times New Roman" w:cs="Times New Roman"/>
                <w:sz w:val="20"/>
                <w:szCs w:val="20"/>
                <w:lang w:eastAsia="en-NZ"/>
              </w:rPr>
              <w:t xml:space="preserve"> - Strength in diversity.</w:t>
            </w:r>
          </w:p>
          <w:p w14:paraId="32BFD41F"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Auaha</w:t>
            </w:r>
            <w:r w:rsidRPr="00F37518">
              <w:rPr>
                <w:rFonts w:eastAsia="Times New Roman" w:cs="Times New Roman"/>
                <w:sz w:val="20"/>
                <w:szCs w:val="20"/>
                <w:lang w:eastAsia="en-NZ"/>
              </w:rPr>
              <w:t xml:space="preserve"> - Creativity, innovation.</w:t>
            </w:r>
          </w:p>
          <w:p w14:paraId="0439789D"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Pono</w:t>
            </w:r>
            <w:r w:rsidRPr="00F37518">
              <w:rPr>
                <w:rFonts w:eastAsia="Times New Roman" w:cs="Times New Roman"/>
                <w:sz w:val="20"/>
                <w:szCs w:val="20"/>
                <w:lang w:eastAsia="en-NZ"/>
              </w:rPr>
              <w:t xml:space="preserve"> - Integrity.</w:t>
            </w:r>
          </w:p>
          <w:p w14:paraId="2BD4E039" w14:textId="77777777" w:rsidR="00F34A73" w:rsidRPr="00F37518" w:rsidRDefault="00F34A73" w:rsidP="00A9351A">
            <w:pPr>
              <w:widowControl w:val="0"/>
              <w:spacing w:after="120" w:line="240" w:lineRule="auto"/>
              <w:rPr>
                <w:rFonts w:eastAsia="Times New Roman" w:cs="Times New Roman"/>
                <w:sz w:val="20"/>
                <w:szCs w:val="20"/>
                <w:lang w:eastAsia="en-NZ"/>
              </w:rPr>
            </w:pPr>
            <w:r w:rsidRPr="00F37518">
              <w:rPr>
                <w:rFonts w:eastAsia="Times New Roman" w:cs="Times New Roman"/>
                <w:b/>
                <w:bCs/>
                <w:sz w:val="20"/>
                <w:szCs w:val="20"/>
                <w:lang w:eastAsia="en-NZ"/>
              </w:rPr>
              <w:t>Taonga tuku iho</w:t>
            </w:r>
            <w:r w:rsidRPr="00F37518">
              <w:rPr>
                <w:rFonts w:eastAsia="Times New Roman" w:cs="Times New Roman"/>
                <w:sz w:val="20"/>
                <w:szCs w:val="20"/>
                <w:lang w:eastAsia="en-NZ"/>
              </w:rPr>
              <w:t xml:space="preserve"> - Future generations.</w:t>
            </w:r>
          </w:p>
        </w:tc>
      </w:tr>
    </w:tbl>
    <w:p w14:paraId="6B83E11A" w14:textId="6FC2B0CF" w:rsidR="004F1702" w:rsidRDefault="004F1702" w:rsidP="00C169EE">
      <w:pPr>
        <w:pStyle w:val="NoSpacing"/>
        <w:spacing w:after="120" w:line="276" w:lineRule="auto"/>
        <w:ind w:left="284"/>
      </w:pPr>
    </w:p>
    <w:sectPr w:rsidR="004F1702" w:rsidSect="006B5F13">
      <w:headerReference w:type="default" r:id="rId32"/>
      <w:footerReference w:type="default" r:id="rId33"/>
      <w:pgSz w:w="16839" w:h="11907" w:orient="landscape" w:code="9"/>
      <w:pgMar w:top="1134" w:right="1276" w:bottom="849" w:left="1135"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B94F" w14:textId="77777777" w:rsidR="00B276DE" w:rsidRDefault="00B276DE">
      <w:pPr>
        <w:spacing w:after="0" w:line="240" w:lineRule="auto"/>
      </w:pPr>
      <w:r>
        <w:separator/>
      </w:r>
    </w:p>
  </w:endnote>
  <w:endnote w:type="continuationSeparator" w:id="0">
    <w:p w14:paraId="5D9A0FED" w14:textId="77777777" w:rsidR="00B276DE" w:rsidRDefault="00B276DE">
      <w:pPr>
        <w:spacing w:after="0" w:line="240" w:lineRule="auto"/>
      </w:pPr>
      <w:r>
        <w:continuationSeparator/>
      </w:r>
    </w:p>
  </w:endnote>
  <w:endnote w:type="continuationNotice" w:id="1">
    <w:p w14:paraId="18DAF35C" w14:textId="77777777" w:rsidR="00B276DE" w:rsidRDefault="00B27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910153"/>
      <w:docPartObj>
        <w:docPartGallery w:val="Page Numbers (Bottom of Page)"/>
        <w:docPartUnique/>
      </w:docPartObj>
    </w:sdtPr>
    <w:sdtEndPr>
      <w:rPr>
        <w:color w:val="808080" w:themeColor="background1" w:themeShade="80"/>
        <w:spacing w:val="60"/>
      </w:rPr>
    </w:sdtEndPr>
    <w:sdtContent>
      <w:p w14:paraId="38AD555B" w14:textId="24273010" w:rsidR="00F34A73" w:rsidRDefault="00F34A73">
        <w:pPr>
          <w:pStyle w:val="Footer"/>
          <w:pBdr>
            <w:top w:val="single" w:sz="4" w:space="1" w:color="D9D9D9" w:themeColor="background1" w:themeShade="D9"/>
          </w:pBdr>
          <w:jc w:val="right"/>
        </w:pPr>
        <w:r>
          <w:tab/>
        </w:r>
        <w:r>
          <w:tab/>
        </w:r>
        <w:r w:rsidRPr="004B270B">
          <w:rPr>
            <w:sz w:val="20"/>
            <w:szCs w:val="20"/>
          </w:rPr>
          <w:fldChar w:fldCharType="begin"/>
        </w:r>
        <w:r w:rsidRPr="004B270B">
          <w:rPr>
            <w:sz w:val="20"/>
            <w:szCs w:val="20"/>
          </w:rPr>
          <w:instrText xml:space="preserve"> PAGE   \* MERGEFORMAT </w:instrText>
        </w:r>
        <w:r w:rsidRPr="004B270B">
          <w:rPr>
            <w:sz w:val="20"/>
            <w:szCs w:val="20"/>
          </w:rPr>
          <w:fldChar w:fldCharType="separate"/>
        </w:r>
        <w:r w:rsidRPr="004B270B">
          <w:rPr>
            <w:noProof/>
            <w:sz w:val="20"/>
            <w:szCs w:val="20"/>
          </w:rPr>
          <w:t>4</w:t>
        </w:r>
        <w:r w:rsidRPr="004B270B">
          <w:rPr>
            <w:noProof/>
            <w:sz w:val="20"/>
            <w:szCs w:val="20"/>
          </w:rPr>
          <w:fldChar w:fldCharType="end"/>
        </w:r>
        <w:r w:rsidRPr="004B270B">
          <w:rPr>
            <w:sz w:val="20"/>
            <w:szCs w:val="20"/>
          </w:rPr>
          <w:t xml:space="preserve"> | </w:t>
        </w:r>
        <w:r w:rsidRPr="004B270B">
          <w:rPr>
            <w:color w:val="808080" w:themeColor="background1" w:themeShade="80"/>
            <w:spacing w:val="60"/>
            <w:sz w:val="20"/>
            <w:szCs w:val="20"/>
          </w:rPr>
          <w:t>Page</w:t>
        </w:r>
      </w:p>
    </w:sdtContent>
  </w:sdt>
  <w:p w14:paraId="6CB066E3" w14:textId="77777777" w:rsidR="00F34A73" w:rsidRDefault="00F3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31355832"/>
      <w:docPartObj>
        <w:docPartGallery w:val="Page Numbers (Bottom of Page)"/>
        <w:docPartUnique/>
      </w:docPartObj>
    </w:sdtPr>
    <w:sdtEndPr>
      <w:rPr>
        <w:color w:val="7F7F7F" w:themeColor="background1" w:themeShade="7F"/>
        <w:spacing w:val="60"/>
      </w:rPr>
    </w:sdtEndPr>
    <w:sdtContent>
      <w:p w14:paraId="7950787A" w14:textId="574A8DBF" w:rsidR="004970A0" w:rsidRPr="00A45585" w:rsidRDefault="004970A0" w:rsidP="00A45585">
        <w:pPr>
          <w:pStyle w:val="Footer"/>
          <w:pBdr>
            <w:top w:val="single" w:sz="4" w:space="1" w:color="D9D9D9" w:themeColor="background1" w:themeShade="D9"/>
          </w:pBdr>
          <w:jc w:val="right"/>
          <w:rPr>
            <w:sz w:val="20"/>
            <w:szCs w:val="20"/>
          </w:rPr>
        </w:pPr>
        <w:r>
          <w:rPr>
            <w:color w:val="FF0000"/>
            <w:sz w:val="20"/>
            <w:szCs w:val="20"/>
          </w:rPr>
          <w:tab/>
        </w:r>
        <w:r w:rsidRPr="00306D3B">
          <w:rPr>
            <w:sz w:val="20"/>
            <w:szCs w:val="20"/>
          </w:rPr>
          <w:fldChar w:fldCharType="begin"/>
        </w:r>
        <w:r w:rsidRPr="00306D3B">
          <w:rPr>
            <w:sz w:val="20"/>
            <w:szCs w:val="20"/>
          </w:rPr>
          <w:instrText xml:space="preserve"> PAGE   \* MERGEFORMAT </w:instrText>
        </w:r>
        <w:r w:rsidRPr="00306D3B">
          <w:rPr>
            <w:sz w:val="20"/>
            <w:szCs w:val="20"/>
          </w:rPr>
          <w:fldChar w:fldCharType="separate"/>
        </w:r>
        <w:r w:rsidRPr="00306D3B">
          <w:rPr>
            <w:noProof/>
            <w:sz w:val="20"/>
            <w:szCs w:val="20"/>
          </w:rPr>
          <w:t>2</w:t>
        </w:r>
        <w:r w:rsidRPr="00306D3B">
          <w:rPr>
            <w:noProof/>
            <w:sz w:val="20"/>
            <w:szCs w:val="20"/>
          </w:rPr>
          <w:fldChar w:fldCharType="end"/>
        </w:r>
        <w:r w:rsidRPr="00306D3B">
          <w:rPr>
            <w:sz w:val="20"/>
            <w:szCs w:val="20"/>
          </w:rPr>
          <w:t xml:space="preserve"> | </w:t>
        </w:r>
        <w:r w:rsidRPr="00306D3B">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F12DC" w14:textId="77777777" w:rsidR="00B276DE" w:rsidRDefault="00B276DE">
      <w:pPr>
        <w:spacing w:after="0" w:line="240" w:lineRule="auto"/>
      </w:pPr>
      <w:r>
        <w:separator/>
      </w:r>
    </w:p>
  </w:footnote>
  <w:footnote w:type="continuationSeparator" w:id="0">
    <w:p w14:paraId="48148569" w14:textId="77777777" w:rsidR="00B276DE" w:rsidRDefault="00B276DE">
      <w:pPr>
        <w:spacing w:after="0" w:line="240" w:lineRule="auto"/>
      </w:pPr>
      <w:r>
        <w:continuationSeparator/>
      </w:r>
    </w:p>
  </w:footnote>
  <w:footnote w:type="continuationNotice" w:id="1">
    <w:p w14:paraId="2E5EA7EF" w14:textId="77777777" w:rsidR="00B276DE" w:rsidRDefault="00B276DE">
      <w:pPr>
        <w:spacing w:after="0" w:line="240" w:lineRule="auto"/>
      </w:pPr>
    </w:p>
  </w:footnote>
  <w:footnote w:id="2">
    <w:p w14:paraId="5CCCF3F0" w14:textId="77777777" w:rsidR="00F34A73" w:rsidRPr="00EF2636" w:rsidRDefault="00F34A73" w:rsidP="00F34A73">
      <w:pPr>
        <w:pStyle w:val="FootnoteText"/>
        <w:ind w:left="284" w:hanging="284"/>
        <w:rPr>
          <w:rFonts w:ascii="Century Gothic" w:hAnsi="Century Gothic"/>
        </w:rPr>
      </w:pPr>
      <w:r>
        <w:rPr>
          <w:rStyle w:val="FootnoteReference"/>
        </w:rPr>
        <w:footnoteRef/>
      </w:r>
      <w:r>
        <w:t xml:space="preserve"> </w:t>
      </w:r>
      <w:r>
        <w:tab/>
      </w:r>
      <w:r w:rsidRPr="00EF2636">
        <w:rPr>
          <w:rFonts w:ascii="Century Gothic" w:hAnsi="Century Gothic"/>
        </w:rPr>
        <w:t xml:space="preserve">Using data found here: </w:t>
      </w:r>
      <w:hyperlink r:id="rId1" w:history="1">
        <w:r w:rsidRPr="00EF2636">
          <w:rPr>
            <w:rStyle w:val="Hyperlink"/>
            <w:rFonts w:ascii="Century Gothic" w:hAnsi="Century Gothic"/>
          </w:rPr>
          <w:t>https://insights.nzherald.co.nz/article/richest-and-poorest-households/</w:t>
        </w:r>
      </w:hyperlink>
      <w:r w:rsidRPr="00EF2636">
        <w:rPr>
          <w:rFonts w:ascii="Century Gothic" w:hAnsi="Century Gothi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7E26" w14:textId="77777777" w:rsidR="004970A0" w:rsidRDefault="0049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4EB"/>
    <w:multiLevelType w:val="hybridMultilevel"/>
    <w:tmpl w:val="619AC616"/>
    <w:lvl w:ilvl="0" w:tplc="1409000F">
      <w:start w:val="1"/>
      <w:numFmt w:val="decimal"/>
      <w:lvlText w:val="%1."/>
      <w:lvlJc w:val="left"/>
      <w:pPr>
        <w:ind w:left="6" w:hanging="360"/>
      </w:p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1" w15:restartNumberingAfterBreak="0">
    <w:nsid w:val="06511418"/>
    <w:multiLevelType w:val="hybridMultilevel"/>
    <w:tmpl w:val="08D89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A27414"/>
    <w:multiLevelType w:val="hybridMultilevel"/>
    <w:tmpl w:val="555C2D88"/>
    <w:lvl w:ilvl="0" w:tplc="0F00DC32">
      <w:start w:val="1"/>
      <w:numFmt w:val="bullet"/>
      <w:lvlText w:val=""/>
      <w:lvlJc w:val="left"/>
      <w:pPr>
        <w:ind w:left="1004" w:hanging="360"/>
      </w:pPr>
      <w:rPr>
        <w:rFonts w:ascii="Symbol" w:hAnsi="Symbol" w:hint="default"/>
        <w:sz w:val="22"/>
        <w:szCs w:val="22"/>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A974C92"/>
    <w:multiLevelType w:val="hybridMultilevel"/>
    <w:tmpl w:val="05D8B3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8160B6A"/>
    <w:multiLevelType w:val="hybridMultilevel"/>
    <w:tmpl w:val="179E669A"/>
    <w:lvl w:ilvl="0" w:tplc="14090019">
      <w:start w:val="1"/>
      <w:numFmt w:val="lowerLetter"/>
      <w:lvlText w:val="%1."/>
      <w:lvlJc w:val="left"/>
      <w:pPr>
        <w:ind w:left="717" w:hanging="360"/>
      </w:pPr>
      <w:rPr>
        <w:rFonts w:hint="default"/>
      </w:rPr>
    </w:lvl>
    <w:lvl w:ilvl="1" w:tplc="14090019">
      <w:start w:val="1"/>
      <w:numFmt w:val="lowerLetter"/>
      <w:lvlText w:val="%2."/>
      <w:lvlJc w:val="left"/>
      <w:pPr>
        <w:ind w:left="1437" w:hanging="360"/>
      </w:pPr>
      <w:rPr>
        <w:rFonts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335D44F0"/>
    <w:multiLevelType w:val="hybridMultilevel"/>
    <w:tmpl w:val="DBE47E4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6" w15:restartNumberingAfterBreak="0">
    <w:nsid w:val="3A731616"/>
    <w:multiLevelType w:val="hybridMultilevel"/>
    <w:tmpl w:val="F370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F71844"/>
    <w:multiLevelType w:val="hybridMultilevel"/>
    <w:tmpl w:val="30C2E70C"/>
    <w:lvl w:ilvl="0" w:tplc="1409000F">
      <w:start w:val="1"/>
      <w:numFmt w:val="decimal"/>
      <w:lvlText w:val="%1."/>
      <w:lvlJc w:val="left"/>
      <w:pPr>
        <w:ind w:left="1004" w:hanging="360"/>
      </w:pPr>
      <w:rPr>
        <w:rFont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44077FF9"/>
    <w:multiLevelType w:val="hybridMultilevel"/>
    <w:tmpl w:val="6D6646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9B43B49"/>
    <w:multiLevelType w:val="hybridMultilevel"/>
    <w:tmpl w:val="44DE84A2"/>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BAC5AB7"/>
    <w:multiLevelType w:val="hybridMultilevel"/>
    <w:tmpl w:val="CF72C6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83F2146"/>
    <w:multiLevelType w:val="hybridMultilevel"/>
    <w:tmpl w:val="6B7AC1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4966DF8"/>
    <w:multiLevelType w:val="hybridMultilevel"/>
    <w:tmpl w:val="413271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C8714C"/>
    <w:multiLevelType w:val="hybridMultilevel"/>
    <w:tmpl w:val="5B60E9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F2C0528"/>
    <w:multiLevelType w:val="hybridMultilevel"/>
    <w:tmpl w:val="EE9C91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4"/>
  </w:num>
  <w:num w:numId="2">
    <w:abstractNumId w:val="2"/>
  </w:num>
  <w:num w:numId="3">
    <w:abstractNumId w:val="7"/>
  </w:num>
  <w:num w:numId="4">
    <w:abstractNumId w:val="9"/>
  </w:num>
  <w:num w:numId="5">
    <w:abstractNumId w:val="0"/>
  </w:num>
  <w:num w:numId="6">
    <w:abstractNumId w:val="5"/>
  </w:num>
  <w:num w:numId="7">
    <w:abstractNumId w:val="13"/>
  </w:num>
  <w:num w:numId="8">
    <w:abstractNumId w:val="8"/>
  </w:num>
  <w:num w:numId="9">
    <w:abstractNumId w:val="3"/>
  </w:num>
  <w:num w:numId="10">
    <w:abstractNumId w:val="9"/>
    <w:lvlOverride w:ilvl="0">
      <w:lvl w:ilvl="0" w:tplc="1409000F">
        <w:start w:val="1"/>
        <w:numFmt w:val="decimal"/>
        <w:lvlText w:val="%1."/>
        <w:lvlJc w:val="left"/>
        <w:pPr>
          <w:ind w:left="360" w:hanging="360"/>
        </w:pPr>
        <w:rPr>
          <w:rFonts w:hint="default"/>
        </w:rPr>
      </w:lvl>
    </w:lvlOverride>
    <w:lvlOverride w:ilvl="1">
      <w:lvl w:ilvl="1" w:tplc="14090003" w:tentative="1">
        <w:start w:val="1"/>
        <w:numFmt w:val="lowerLetter"/>
        <w:lvlText w:val="%2."/>
        <w:lvlJc w:val="left"/>
        <w:pPr>
          <w:ind w:left="1440" w:hanging="360"/>
        </w:pPr>
      </w:lvl>
    </w:lvlOverride>
    <w:lvlOverride w:ilvl="2">
      <w:lvl w:ilvl="2" w:tplc="14090005" w:tentative="1">
        <w:start w:val="1"/>
        <w:numFmt w:val="lowerRoman"/>
        <w:lvlText w:val="%3."/>
        <w:lvlJc w:val="right"/>
        <w:pPr>
          <w:ind w:left="2160" w:hanging="180"/>
        </w:pPr>
      </w:lvl>
    </w:lvlOverride>
    <w:lvlOverride w:ilvl="3">
      <w:lvl w:ilvl="3" w:tplc="14090001" w:tentative="1">
        <w:start w:val="1"/>
        <w:numFmt w:val="decimal"/>
        <w:lvlText w:val="%4."/>
        <w:lvlJc w:val="left"/>
        <w:pPr>
          <w:ind w:left="2880" w:hanging="360"/>
        </w:pPr>
      </w:lvl>
    </w:lvlOverride>
    <w:lvlOverride w:ilvl="4">
      <w:lvl w:ilvl="4" w:tplc="14090003" w:tentative="1">
        <w:start w:val="1"/>
        <w:numFmt w:val="lowerLetter"/>
        <w:lvlText w:val="%5."/>
        <w:lvlJc w:val="left"/>
        <w:pPr>
          <w:ind w:left="3600" w:hanging="360"/>
        </w:pPr>
      </w:lvl>
    </w:lvlOverride>
    <w:lvlOverride w:ilvl="5">
      <w:lvl w:ilvl="5" w:tplc="14090005" w:tentative="1">
        <w:start w:val="1"/>
        <w:numFmt w:val="lowerRoman"/>
        <w:lvlText w:val="%6."/>
        <w:lvlJc w:val="right"/>
        <w:pPr>
          <w:ind w:left="4320" w:hanging="180"/>
        </w:pPr>
      </w:lvl>
    </w:lvlOverride>
    <w:lvlOverride w:ilvl="6">
      <w:lvl w:ilvl="6" w:tplc="14090001" w:tentative="1">
        <w:start w:val="1"/>
        <w:numFmt w:val="decimal"/>
        <w:lvlText w:val="%7."/>
        <w:lvlJc w:val="left"/>
        <w:pPr>
          <w:ind w:left="5040" w:hanging="360"/>
        </w:pPr>
      </w:lvl>
    </w:lvlOverride>
    <w:lvlOverride w:ilvl="7">
      <w:lvl w:ilvl="7" w:tplc="14090003" w:tentative="1">
        <w:start w:val="1"/>
        <w:numFmt w:val="lowerLetter"/>
        <w:lvlText w:val="%8."/>
        <w:lvlJc w:val="left"/>
        <w:pPr>
          <w:ind w:left="5760" w:hanging="360"/>
        </w:pPr>
      </w:lvl>
    </w:lvlOverride>
    <w:lvlOverride w:ilvl="8">
      <w:lvl w:ilvl="8" w:tplc="14090005" w:tentative="1">
        <w:start w:val="1"/>
        <w:numFmt w:val="lowerRoman"/>
        <w:lvlText w:val="%9."/>
        <w:lvlJc w:val="right"/>
        <w:pPr>
          <w:ind w:left="6480" w:hanging="180"/>
        </w:pPr>
      </w:lvl>
    </w:lvlOverride>
  </w:num>
  <w:num w:numId="11">
    <w:abstractNumId w:val="1"/>
  </w:num>
  <w:num w:numId="12">
    <w:abstractNumId w:val="10"/>
  </w:num>
  <w:num w:numId="13">
    <w:abstractNumId w:val="4"/>
  </w:num>
  <w:num w:numId="14">
    <w:abstractNumId w:val="12"/>
  </w:num>
  <w:num w:numId="15">
    <w:abstractNumId w:val="11"/>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52"/>
    <w:rsid w:val="0001389C"/>
    <w:rsid w:val="000145EE"/>
    <w:rsid w:val="00021A0C"/>
    <w:rsid w:val="000259CA"/>
    <w:rsid w:val="00025A01"/>
    <w:rsid w:val="000306ED"/>
    <w:rsid w:val="0003499C"/>
    <w:rsid w:val="00043DF8"/>
    <w:rsid w:val="00046CCC"/>
    <w:rsid w:val="000477B1"/>
    <w:rsid w:val="00061994"/>
    <w:rsid w:val="00067777"/>
    <w:rsid w:val="000740CE"/>
    <w:rsid w:val="000751C3"/>
    <w:rsid w:val="00084868"/>
    <w:rsid w:val="0008768A"/>
    <w:rsid w:val="00091641"/>
    <w:rsid w:val="000A0CBA"/>
    <w:rsid w:val="000A2BD0"/>
    <w:rsid w:val="000A4664"/>
    <w:rsid w:val="000B08AF"/>
    <w:rsid w:val="000B0FC9"/>
    <w:rsid w:val="000C4378"/>
    <w:rsid w:val="000C7699"/>
    <w:rsid w:val="000D6D89"/>
    <w:rsid w:val="000E10DD"/>
    <w:rsid w:val="000F1FF3"/>
    <w:rsid w:val="00100A41"/>
    <w:rsid w:val="001114D9"/>
    <w:rsid w:val="00111BB3"/>
    <w:rsid w:val="0011485E"/>
    <w:rsid w:val="001156A8"/>
    <w:rsid w:val="00116615"/>
    <w:rsid w:val="001348FF"/>
    <w:rsid w:val="001360C9"/>
    <w:rsid w:val="00140C4E"/>
    <w:rsid w:val="0015067E"/>
    <w:rsid w:val="001761FA"/>
    <w:rsid w:val="001872DF"/>
    <w:rsid w:val="001953A1"/>
    <w:rsid w:val="001A6D5B"/>
    <w:rsid w:val="001A7411"/>
    <w:rsid w:val="001B1923"/>
    <w:rsid w:val="001B5601"/>
    <w:rsid w:val="001C7893"/>
    <w:rsid w:val="001D442A"/>
    <w:rsid w:val="001D5301"/>
    <w:rsid w:val="001D7A72"/>
    <w:rsid w:val="001E53BB"/>
    <w:rsid w:val="001E5FE1"/>
    <w:rsid w:val="001E6324"/>
    <w:rsid w:val="001E6C1E"/>
    <w:rsid w:val="001F5F82"/>
    <w:rsid w:val="001F6B81"/>
    <w:rsid w:val="00210ADF"/>
    <w:rsid w:val="00210D84"/>
    <w:rsid w:val="0021290F"/>
    <w:rsid w:val="00220DBD"/>
    <w:rsid w:val="00223D54"/>
    <w:rsid w:val="0022592B"/>
    <w:rsid w:val="002267D0"/>
    <w:rsid w:val="0024635A"/>
    <w:rsid w:val="00253620"/>
    <w:rsid w:val="00263C34"/>
    <w:rsid w:val="002702E7"/>
    <w:rsid w:val="00275D35"/>
    <w:rsid w:val="00282691"/>
    <w:rsid w:val="002838AB"/>
    <w:rsid w:val="002862F1"/>
    <w:rsid w:val="00291A33"/>
    <w:rsid w:val="002975E5"/>
    <w:rsid w:val="002A417F"/>
    <w:rsid w:val="002B3F30"/>
    <w:rsid w:val="002B6DDB"/>
    <w:rsid w:val="002C0C23"/>
    <w:rsid w:val="002C4C3E"/>
    <w:rsid w:val="002D00C0"/>
    <w:rsid w:val="002D4194"/>
    <w:rsid w:val="002D5084"/>
    <w:rsid w:val="002E4284"/>
    <w:rsid w:val="00301547"/>
    <w:rsid w:val="00304903"/>
    <w:rsid w:val="003068FD"/>
    <w:rsid w:val="00310027"/>
    <w:rsid w:val="00317068"/>
    <w:rsid w:val="003238E0"/>
    <w:rsid w:val="00324902"/>
    <w:rsid w:val="003307D8"/>
    <w:rsid w:val="00331C63"/>
    <w:rsid w:val="00332169"/>
    <w:rsid w:val="0033260F"/>
    <w:rsid w:val="0033510C"/>
    <w:rsid w:val="00335BEE"/>
    <w:rsid w:val="00343834"/>
    <w:rsid w:val="003558F5"/>
    <w:rsid w:val="00356819"/>
    <w:rsid w:val="0036186F"/>
    <w:rsid w:val="00361CFD"/>
    <w:rsid w:val="00365260"/>
    <w:rsid w:val="00370A24"/>
    <w:rsid w:val="00370BDC"/>
    <w:rsid w:val="00371284"/>
    <w:rsid w:val="00376E0B"/>
    <w:rsid w:val="003819DC"/>
    <w:rsid w:val="00397B97"/>
    <w:rsid w:val="003A5B27"/>
    <w:rsid w:val="003B7F1D"/>
    <w:rsid w:val="003E5D15"/>
    <w:rsid w:val="003E6589"/>
    <w:rsid w:val="003F113B"/>
    <w:rsid w:val="003F2B03"/>
    <w:rsid w:val="003F7B22"/>
    <w:rsid w:val="004068B8"/>
    <w:rsid w:val="00417361"/>
    <w:rsid w:val="004237F0"/>
    <w:rsid w:val="00424499"/>
    <w:rsid w:val="00430169"/>
    <w:rsid w:val="00430A08"/>
    <w:rsid w:val="004368EF"/>
    <w:rsid w:val="004547EB"/>
    <w:rsid w:val="00467033"/>
    <w:rsid w:val="00470D92"/>
    <w:rsid w:val="0047557D"/>
    <w:rsid w:val="004909CF"/>
    <w:rsid w:val="00496A20"/>
    <w:rsid w:val="004970A0"/>
    <w:rsid w:val="004A4939"/>
    <w:rsid w:val="004A7163"/>
    <w:rsid w:val="004B270B"/>
    <w:rsid w:val="004B304C"/>
    <w:rsid w:val="004C3A86"/>
    <w:rsid w:val="004D28FB"/>
    <w:rsid w:val="004D70B7"/>
    <w:rsid w:val="004E1421"/>
    <w:rsid w:val="004E2290"/>
    <w:rsid w:val="004E352A"/>
    <w:rsid w:val="004E5562"/>
    <w:rsid w:val="004E7183"/>
    <w:rsid w:val="004E7515"/>
    <w:rsid w:val="004F1702"/>
    <w:rsid w:val="00500B04"/>
    <w:rsid w:val="00501070"/>
    <w:rsid w:val="00506877"/>
    <w:rsid w:val="0051068D"/>
    <w:rsid w:val="00510FC2"/>
    <w:rsid w:val="0052003D"/>
    <w:rsid w:val="005202CD"/>
    <w:rsid w:val="00527465"/>
    <w:rsid w:val="0053647B"/>
    <w:rsid w:val="00562419"/>
    <w:rsid w:val="0056656E"/>
    <w:rsid w:val="00566795"/>
    <w:rsid w:val="00572DEB"/>
    <w:rsid w:val="00572F9F"/>
    <w:rsid w:val="00575E98"/>
    <w:rsid w:val="00576DFD"/>
    <w:rsid w:val="00585900"/>
    <w:rsid w:val="005934CB"/>
    <w:rsid w:val="00595185"/>
    <w:rsid w:val="0059720D"/>
    <w:rsid w:val="005975FD"/>
    <w:rsid w:val="005B3096"/>
    <w:rsid w:val="005B6605"/>
    <w:rsid w:val="005C0EC8"/>
    <w:rsid w:val="005C398B"/>
    <w:rsid w:val="005D2326"/>
    <w:rsid w:val="005D6AB6"/>
    <w:rsid w:val="005E7E03"/>
    <w:rsid w:val="005F1DA2"/>
    <w:rsid w:val="005F787D"/>
    <w:rsid w:val="00622778"/>
    <w:rsid w:val="00627C91"/>
    <w:rsid w:val="00637C09"/>
    <w:rsid w:val="00647648"/>
    <w:rsid w:val="00653D2C"/>
    <w:rsid w:val="00654241"/>
    <w:rsid w:val="00655D79"/>
    <w:rsid w:val="00656539"/>
    <w:rsid w:val="00663DC8"/>
    <w:rsid w:val="0066726C"/>
    <w:rsid w:val="00670E45"/>
    <w:rsid w:val="00673EE9"/>
    <w:rsid w:val="00675536"/>
    <w:rsid w:val="00681137"/>
    <w:rsid w:val="006833A3"/>
    <w:rsid w:val="006840ED"/>
    <w:rsid w:val="0069432B"/>
    <w:rsid w:val="00694FDB"/>
    <w:rsid w:val="00695DD1"/>
    <w:rsid w:val="006B5F13"/>
    <w:rsid w:val="006C324C"/>
    <w:rsid w:val="006C3EDD"/>
    <w:rsid w:val="006C65A8"/>
    <w:rsid w:val="006C6995"/>
    <w:rsid w:val="006C6B63"/>
    <w:rsid w:val="006D26EC"/>
    <w:rsid w:val="006D34D4"/>
    <w:rsid w:val="006D38B7"/>
    <w:rsid w:val="006D51E5"/>
    <w:rsid w:val="006E1E4E"/>
    <w:rsid w:val="006E79F6"/>
    <w:rsid w:val="006F17FF"/>
    <w:rsid w:val="006F2B83"/>
    <w:rsid w:val="006F3826"/>
    <w:rsid w:val="007010C3"/>
    <w:rsid w:val="00730523"/>
    <w:rsid w:val="00735629"/>
    <w:rsid w:val="007447EF"/>
    <w:rsid w:val="00746961"/>
    <w:rsid w:val="00747D6F"/>
    <w:rsid w:val="00752D81"/>
    <w:rsid w:val="00776ECA"/>
    <w:rsid w:val="00790CD0"/>
    <w:rsid w:val="00793D82"/>
    <w:rsid w:val="007956EE"/>
    <w:rsid w:val="007A43A5"/>
    <w:rsid w:val="007B4972"/>
    <w:rsid w:val="007B539A"/>
    <w:rsid w:val="007B682E"/>
    <w:rsid w:val="007E4ACB"/>
    <w:rsid w:val="007E6D20"/>
    <w:rsid w:val="007F7A53"/>
    <w:rsid w:val="00813953"/>
    <w:rsid w:val="008229C7"/>
    <w:rsid w:val="00826E73"/>
    <w:rsid w:val="00832326"/>
    <w:rsid w:val="0083386C"/>
    <w:rsid w:val="008353C3"/>
    <w:rsid w:val="00853343"/>
    <w:rsid w:val="00860183"/>
    <w:rsid w:val="00860556"/>
    <w:rsid w:val="00872D45"/>
    <w:rsid w:val="00884420"/>
    <w:rsid w:val="00896547"/>
    <w:rsid w:val="008A0AD8"/>
    <w:rsid w:val="008A14C5"/>
    <w:rsid w:val="008A3A2E"/>
    <w:rsid w:val="008B4B6B"/>
    <w:rsid w:val="008B55E3"/>
    <w:rsid w:val="008B5C01"/>
    <w:rsid w:val="008B75B6"/>
    <w:rsid w:val="008C24B4"/>
    <w:rsid w:val="008C3314"/>
    <w:rsid w:val="008D6B3D"/>
    <w:rsid w:val="00907E91"/>
    <w:rsid w:val="00924670"/>
    <w:rsid w:val="00925E49"/>
    <w:rsid w:val="00943B52"/>
    <w:rsid w:val="0095464A"/>
    <w:rsid w:val="00954C3B"/>
    <w:rsid w:val="00955B35"/>
    <w:rsid w:val="00970CA9"/>
    <w:rsid w:val="00982C3F"/>
    <w:rsid w:val="00992300"/>
    <w:rsid w:val="00994C75"/>
    <w:rsid w:val="009954A9"/>
    <w:rsid w:val="009A19E1"/>
    <w:rsid w:val="009A3177"/>
    <w:rsid w:val="009A3C16"/>
    <w:rsid w:val="009A7A05"/>
    <w:rsid w:val="009B2BCF"/>
    <w:rsid w:val="009B755B"/>
    <w:rsid w:val="009B7780"/>
    <w:rsid w:val="009C1CAA"/>
    <w:rsid w:val="009C4BCF"/>
    <w:rsid w:val="009C7980"/>
    <w:rsid w:val="009D1B7D"/>
    <w:rsid w:val="009E2CC9"/>
    <w:rsid w:val="009E424B"/>
    <w:rsid w:val="00A02BD6"/>
    <w:rsid w:val="00A21920"/>
    <w:rsid w:val="00A40819"/>
    <w:rsid w:val="00A40B01"/>
    <w:rsid w:val="00A45585"/>
    <w:rsid w:val="00A526A7"/>
    <w:rsid w:val="00A52801"/>
    <w:rsid w:val="00A56990"/>
    <w:rsid w:val="00A600C6"/>
    <w:rsid w:val="00A65811"/>
    <w:rsid w:val="00A816CF"/>
    <w:rsid w:val="00A9351A"/>
    <w:rsid w:val="00A961AE"/>
    <w:rsid w:val="00AA6F2E"/>
    <w:rsid w:val="00AB445E"/>
    <w:rsid w:val="00AC041B"/>
    <w:rsid w:val="00AC2A66"/>
    <w:rsid w:val="00AC3D80"/>
    <w:rsid w:val="00AD5AD8"/>
    <w:rsid w:val="00AD6808"/>
    <w:rsid w:val="00AE02A1"/>
    <w:rsid w:val="00AE765C"/>
    <w:rsid w:val="00AF2CDC"/>
    <w:rsid w:val="00B06C27"/>
    <w:rsid w:val="00B0706A"/>
    <w:rsid w:val="00B11E7A"/>
    <w:rsid w:val="00B145F0"/>
    <w:rsid w:val="00B22E81"/>
    <w:rsid w:val="00B276DE"/>
    <w:rsid w:val="00B3266D"/>
    <w:rsid w:val="00B43037"/>
    <w:rsid w:val="00B457AA"/>
    <w:rsid w:val="00B47B46"/>
    <w:rsid w:val="00B66557"/>
    <w:rsid w:val="00B7196A"/>
    <w:rsid w:val="00B82423"/>
    <w:rsid w:val="00B8518E"/>
    <w:rsid w:val="00B8523B"/>
    <w:rsid w:val="00B85A09"/>
    <w:rsid w:val="00B92BD5"/>
    <w:rsid w:val="00BA1188"/>
    <w:rsid w:val="00BA132C"/>
    <w:rsid w:val="00BB495B"/>
    <w:rsid w:val="00BD084F"/>
    <w:rsid w:val="00BD5298"/>
    <w:rsid w:val="00BD52D7"/>
    <w:rsid w:val="00BE22E5"/>
    <w:rsid w:val="00BF592F"/>
    <w:rsid w:val="00BF6CFF"/>
    <w:rsid w:val="00C169EE"/>
    <w:rsid w:val="00C17A70"/>
    <w:rsid w:val="00C27E44"/>
    <w:rsid w:val="00C300DE"/>
    <w:rsid w:val="00C37413"/>
    <w:rsid w:val="00C37FBC"/>
    <w:rsid w:val="00C40058"/>
    <w:rsid w:val="00C47A4A"/>
    <w:rsid w:val="00C500E0"/>
    <w:rsid w:val="00C519F3"/>
    <w:rsid w:val="00C56C92"/>
    <w:rsid w:val="00C576D8"/>
    <w:rsid w:val="00C617FA"/>
    <w:rsid w:val="00C75F76"/>
    <w:rsid w:val="00C91135"/>
    <w:rsid w:val="00CA3425"/>
    <w:rsid w:val="00CA5775"/>
    <w:rsid w:val="00CA5AF8"/>
    <w:rsid w:val="00CB1ECA"/>
    <w:rsid w:val="00CB2587"/>
    <w:rsid w:val="00CB63F9"/>
    <w:rsid w:val="00CD135D"/>
    <w:rsid w:val="00CD303E"/>
    <w:rsid w:val="00CE44BC"/>
    <w:rsid w:val="00CE496B"/>
    <w:rsid w:val="00CE4D80"/>
    <w:rsid w:val="00CE6C9C"/>
    <w:rsid w:val="00CF32E4"/>
    <w:rsid w:val="00CF46E5"/>
    <w:rsid w:val="00CF68AF"/>
    <w:rsid w:val="00D10257"/>
    <w:rsid w:val="00D168AF"/>
    <w:rsid w:val="00D16F96"/>
    <w:rsid w:val="00D1767B"/>
    <w:rsid w:val="00D40F6D"/>
    <w:rsid w:val="00D43366"/>
    <w:rsid w:val="00D464C1"/>
    <w:rsid w:val="00D62A88"/>
    <w:rsid w:val="00D67CF1"/>
    <w:rsid w:val="00D7126B"/>
    <w:rsid w:val="00D8029B"/>
    <w:rsid w:val="00D85F14"/>
    <w:rsid w:val="00D908E8"/>
    <w:rsid w:val="00D950C1"/>
    <w:rsid w:val="00DB1FC6"/>
    <w:rsid w:val="00DB7BED"/>
    <w:rsid w:val="00DC2B44"/>
    <w:rsid w:val="00DC4B5B"/>
    <w:rsid w:val="00DD37D8"/>
    <w:rsid w:val="00DE5F44"/>
    <w:rsid w:val="00DE7D5B"/>
    <w:rsid w:val="00DF101E"/>
    <w:rsid w:val="00DF4A23"/>
    <w:rsid w:val="00E0061E"/>
    <w:rsid w:val="00E074B9"/>
    <w:rsid w:val="00E11CD0"/>
    <w:rsid w:val="00E11F70"/>
    <w:rsid w:val="00E122E1"/>
    <w:rsid w:val="00E21D5F"/>
    <w:rsid w:val="00E315FA"/>
    <w:rsid w:val="00E31CDE"/>
    <w:rsid w:val="00E463E0"/>
    <w:rsid w:val="00E47D59"/>
    <w:rsid w:val="00E52AE7"/>
    <w:rsid w:val="00E537EB"/>
    <w:rsid w:val="00E549B2"/>
    <w:rsid w:val="00E55195"/>
    <w:rsid w:val="00E730F6"/>
    <w:rsid w:val="00E75EC8"/>
    <w:rsid w:val="00E803A1"/>
    <w:rsid w:val="00E935F5"/>
    <w:rsid w:val="00E96DE0"/>
    <w:rsid w:val="00E971D6"/>
    <w:rsid w:val="00EA0000"/>
    <w:rsid w:val="00EA0FBC"/>
    <w:rsid w:val="00EA1C40"/>
    <w:rsid w:val="00EB4080"/>
    <w:rsid w:val="00EB4C07"/>
    <w:rsid w:val="00EB6EB1"/>
    <w:rsid w:val="00EB7646"/>
    <w:rsid w:val="00EC0555"/>
    <w:rsid w:val="00EC0B65"/>
    <w:rsid w:val="00EC3A27"/>
    <w:rsid w:val="00EC3C40"/>
    <w:rsid w:val="00EC50C8"/>
    <w:rsid w:val="00ED0D82"/>
    <w:rsid w:val="00ED1BF3"/>
    <w:rsid w:val="00ED28D5"/>
    <w:rsid w:val="00ED4185"/>
    <w:rsid w:val="00EF222C"/>
    <w:rsid w:val="00EF59A9"/>
    <w:rsid w:val="00F13E3F"/>
    <w:rsid w:val="00F15618"/>
    <w:rsid w:val="00F17516"/>
    <w:rsid w:val="00F17C66"/>
    <w:rsid w:val="00F255DC"/>
    <w:rsid w:val="00F27C71"/>
    <w:rsid w:val="00F34824"/>
    <w:rsid w:val="00F34A73"/>
    <w:rsid w:val="00F34D21"/>
    <w:rsid w:val="00F41880"/>
    <w:rsid w:val="00F53922"/>
    <w:rsid w:val="00F662A2"/>
    <w:rsid w:val="00F66D99"/>
    <w:rsid w:val="00F67593"/>
    <w:rsid w:val="00F675DD"/>
    <w:rsid w:val="00F8191F"/>
    <w:rsid w:val="00F8421F"/>
    <w:rsid w:val="00F85948"/>
    <w:rsid w:val="00F91C6D"/>
    <w:rsid w:val="00FA6CE7"/>
    <w:rsid w:val="00FB3300"/>
    <w:rsid w:val="00FC287F"/>
    <w:rsid w:val="00FD0708"/>
    <w:rsid w:val="00FD2769"/>
    <w:rsid w:val="00FD302A"/>
    <w:rsid w:val="00FD503F"/>
    <w:rsid w:val="00FD5D30"/>
    <w:rsid w:val="00FD601C"/>
    <w:rsid w:val="00FE0F4B"/>
    <w:rsid w:val="00FF49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FACF"/>
  <w15:docId w15:val="{A0594F2B-B3F2-4FEC-8321-3314DBC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52"/>
    <w:pPr>
      <w:spacing w:after="200" w:line="276" w:lineRule="auto"/>
    </w:pPr>
    <w:rPr>
      <w:rFonts w:ascii="Century Gothic" w:hAnsi="Century Gothic"/>
    </w:rPr>
  </w:style>
  <w:style w:type="paragraph" w:styleId="Heading1">
    <w:name w:val="heading 1"/>
    <w:basedOn w:val="Normal"/>
    <w:next w:val="Normal"/>
    <w:link w:val="Heading1Char"/>
    <w:uiPriority w:val="9"/>
    <w:qFormat/>
    <w:rsid w:val="00F34A73"/>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70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52"/>
    <w:pPr>
      <w:ind w:left="720"/>
      <w:contextualSpacing/>
    </w:pPr>
  </w:style>
  <w:style w:type="paragraph" w:styleId="NoSpacing">
    <w:name w:val="No Spacing"/>
    <w:uiPriority w:val="1"/>
    <w:qFormat/>
    <w:rsid w:val="00943B52"/>
    <w:pPr>
      <w:spacing w:after="0" w:line="240" w:lineRule="auto"/>
    </w:pPr>
    <w:rPr>
      <w:rFonts w:ascii="Century Gothic" w:hAnsi="Century Gothic"/>
    </w:rPr>
  </w:style>
  <w:style w:type="paragraph" w:styleId="Header">
    <w:name w:val="header"/>
    <w:basedOn w:val="Normal"/>
    <w:link w:val="HeaderChar"/>
    <w:uiPriority w:val="99"/>
    <w:unhideWhenUsed/>
    <w:rsid w:val="0094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52"/>
    <w:rPr>
      <w:rFonts w:ascii="Century Gothic" w:hAnsi="Century Gothic"/>
    </w:rPr>
  </w:style>
  <w:style w:type="paragraph" w:styleId="Footer">
    <w:name w:val="footer"/>
    <w:basedOn w:val="Normal"/>
    <w:link w:val="FooterChar"/>
    <w:uiPriority w:val="99"/>
    <w:unhideWhenUsed/>
    <w:rsid w:val="0094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52"/>
    <w:rPr>
      <w:rFonts w:ascii="Century Gothic" w:hAnsi="Century Gothic"/>
    </w:rPr>
  </w:style>
  <w:style w:type="character" w:styleId="Hyperlink">
    <w:name w:val="Hyperlink"/>
    <w:basedOn w:val="DefaultParagraphFont"/>
    <w:uiPriority w:val="99"/>
    <w:unhideWhenUsed/>
    <w:rsid w:val="00943B52"/>
    <w:rPr>
      <w:color w:val="0000FF"/>
      <w:u w:val="single"/>
    </w:rPr>
  </w:style>
  <w:style w:type="table" w:styleId="TableGrid">
    <w:name w:val="Table Grid"/>
    <w:basedOn w:val="TableNormal"/>
    <w:uiPriority w:val="39"/>
    <w:rsid w:val="0094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648"/>
    <w:rPr>
      <w:rFonts w:asciiTheme="majorHAnsi" w:eastAsiaTheme="majorEastAsia" w:hAnsiTheme="majorHAnsi" w:cstheme="majorBidi"/>
      <w:b/>
      <w:bCs/>
      <w:color w:val="2E74B5" w:themeColor="accent1" w:themeShade="BF"/>
      <w:sz w:val="28"/>
      <w:szCs w:val="28"/>
    </w:rPr>
  </w:style>
  <w:style w:type="character" w:customStyle="1" w:styleId="Heading1Char1">
    <w:name w:val="Heading 1 Char1"/>
    <w:basedOn w:val="DefaultParagraphFont"/>
    <w:uiPriority w:val="9"/>
    <w:rsid w:val="00F34A7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4A73"/>
    <w:pPr>
      <w:spacing w:line="276" w:lineRule="auto"/>
      <w:outlineLvl w:val="9"/>
    </w:pPr>
    <w:rPr>
      <w:lang w:val="en-US" w:eastAsia="ja-JP"/>
    </w:rPr>
  </w:style>
  <w:style w:type="paragraph" w:styleId="TOC1">
    <w:name w:val="toc 1"/>
    <w:basedOn w:val="Normal"/>
    <w:next w:val="Normal"/>
    <w:autoRedefine/>
    <w:uiPriority w:val="39"/>
    <w:unhideWhenUsed/>
    <w:rsid w:val="00E47D59"/>
    <w:pPr>
      <w:tabs>
        <w:tab w:val="right" w:leader="dot" w:pos="9016"/>
      </w:tabs>
      <w:spacing w:after="100" w:line="256" w:lineRule="auto"/>
      <w:ind w:right="425"/>
    </w:pPr>
    <w:rPr>
      <w:noProof/>
      <w:lang w:val="en-US"/>
    </w:rPr>
  </w:style>
  <w:style w:type="paragraph" w:styleId="NormalWeb">
    <w:name w:val="Normal (Web)"/>
    <w:basedOn w:val="Normal"/>
    <w:uiPriority w:val="99"/>
    <w:unhideWhenUsed/>
    <w:rsid w:val="00F34A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34A73"/>
    <w:rPr>
      <w:b/>
      <w:bCs/>
    </w:rPr>
  </w:style>
  <w:style w:type="paragraph" w:styleId="FootnoteText">
    <w:name w:val="footnote text"/>
    <w:basedOn w:val="Normal"/>
    <w:link w:val="FootnoteTextChar"/>
    <w:uiPriority w:val="99"/>
    <w:semiHidden/>
    <w:unhideWhenUsed/>
    <w:rsid w:val="00F34A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34A73"/>
    <w:rPr>
      <w:sz w:val="20"/>
      <w:szCs w:val="20"/>
    </w:rPr>
  </w:style>
  <w:style w:type="character" w:styleId="FootnoteReference">
    <w:name w:val="footnote reference"/>
    <w:basedOn w:val="DefaultParagraphFont"/>
    <w:uiPriority w:val="99"/>
    <w:semiHidden/>
    <w:unhideWhenUsed/>
    <w:rsid w:val="00F34A73"/>
    <w:rPr>
      <w:vertAlign w:val="superscript"/>
    </w:rPr>
  </w:style>
  <w:style w:type="character" w:customStyle="1" w:styleId="Heading2Char">
    <w:name w:val="Heading 2 Char"/>
    <w:basedOn w:val="DefaultParagraphFont"/>
    <w:link w:val="Heading2"/>
    <w:uiPriority w:val="9"/>
    <w:rsid w:val="004970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970A0"/>
    <w:pPr>
      <w:spacing w:after="100"/>
      <w:ind w:left="220"/>
    </w:pPr>
  </w:style>
  <w:style w:type="paragraph" w:styleId="BalloonText">
    <w:name w:val="Balloon Text"/>
    <w:basedOn w:val="Normal"/>
    <w:link w:val="BalloonTextChar"/>
    <w:uiPriority w:val="99"/>
    <w:semiHidden/>
    <w:unhideWhenUsed/>
    <w:rsid w:val="00497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A0"/>
    <w:rPr>
      <w:rFonts w:ascii="Segoe UI" w:hAnsi="Segoe UI" w:cs="Segoe UI"/>
      <w:sz w:val="18"/>
      <w:szCs w:val="18"/>
    </w:rPr>
  </w:style>
  <w:style w:type="character" w:styleId="UnresolvedMention">
    <w:name w:val="Unresolved Mention"/>
    <w:basedOn w:val="DefaultParagraphFont"/>
    <w:uiPriority w:val="99"/>
    <w:semiHidden/>
    <w:unhideWhenUsed/>
    <w:rsid w:val="004970A0"/>
    <w:rPr>
      <w:color w:val="605E5C"/>
      <w:shd w:val="clear" w:color="auto" w:fill="E1DFDD"/>
    </w:rPr>
  </w:style>
  <w:style w:type="character" w:styleId="Emphasis">
    <w:name w:val="Emphasis"/>
    <w:basedOn w:val="DefaultParagraphFont"/>
    <w:uiPriority w:val="20"/>
    <w:qFormat/>
    <w:rsid w:val="004970A0"/>
    <w:rPr>
      <w:i/>
      <w:iCs/>
    </w:rPr>
  </w:style>
  <w:style w:type="character" w:styleId="CommentReference">
    <w:name w:val="annotation reference"/>
    <w:basedOn w:val="DefaultParagraphFont"/>
    <w:uiPriority w:val="99"/>
    <w:semiHidden/>
    <w:unhideWhenUsed/>
    <w:rsid w:val="00694FDB"/>
    <w:rPr>
      <w:sz w:val="16"/>
      <w:szCs w:val="16"/>
    </w:rPr>
  </w:style>
  <w:style w:type="paragraph" w:styleId="CommentText">
    <w:name w:val="annotation text"/>
    <w:basedOn w:val="Normal"/>
    <w:link w:val="CommentTextChar"/>
    <w:uiPriority w:val="99"/>
    <w:semiHidden/>
    <w:unhideWhenUsed/>
    <w:rsid w:val="00694FDB"/>
    <w:pPr>
      <w:spacing w:line="240" w:lineRule="auto"/>
    </w:pPr>
    <w:rPr>
      <w:sz w:val="20"/>
      <w:szCs w:val="20"/>
    </w:rPr>
  </w:style>
  <w:style w:type="character" w:customStyle="1" w:styleId="CommentTextChar">
    <w:name w:val="Comment Text Char"/>
    <w:basedOn w:val="DefaultParagraphFont"/>
    <w:link w:val="CommentText"/>
    <w:uiPriority w:val="99"/>
    <w:semiHidden/>
    <w:rsid w:val="00694FDB"/>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94FDB"/>
    <w:rPr>
      <w:b/>
      <w:bCs/>
    </w:rPr>
  </w:style>
  <w:style w:type="character" w:customStyle="1" w:styleId="CommentSubjectChar">
    <w:name w:val="Comment Subject Char"/>
    <w:basedOn w:val="CommentTextChar"/>
    <w:link w:val="CommentSubject"/>
    <w:uiPriority w:val="99"/>
    <w:semiHidden/>
    <w:rsid w:val="00694FDB"/>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3057">
      <w:bodyDiv w:val="1"/>
      <w:marLeft w:val="0"/>
      <w:marRight w:val="0"/>
      <w:marTop w:val="0"/>
      <w:marBottom w:val="0"/>
      <w:divBdr>
        <w:top w:val="none" w:sz="0" w:space="0" w:color="auto"/>
        <w:left w:val="none" w:sz="0" w:space="0" w:color="auto"/>
        <w:bottom w:val="none" w:sz="0" w:space="0" w:color="auto"/>
        <w:right w:val="none" w:sz="0" w:space="0" w:color="auto"/>
      </w:divBdr>
    </w:div>
    <w:div w:id="550845789">
      <w:bodyDiv w:val="1"/>
      <w:marLeft w:val="0"/>
      <w:marRight w:val="0"/>
      <w:marTop w:val="0"/>
      <w:marBottom w:val="0"/>
      <w:divBdr>
        <w:top w:val="none" w:sz="0" w:space="0" w:color="auto"/>
        <w:left w:val="none" w:sz="0" w:space="0" w:color="auto"/>
        <w:bottom w:val="none" w:sz="0" w:space="0" w:color="auto"/>
        <w:right w:val="none" w:sz="0" w:space="0" w:color="auto"/>
      </w:divBdr>
    </w:div>
    <w:div w:id="629743905">
      <w:bodyDiv w:val="1"/>
      <w:marLeft w:val="0"/>
      <w:marRight w:val="0"/>
      <w:marTop w:val="0"/>
      <w:marBottom w:val="0"/>
      <w:divBdr>
        <w:top w:val="none" w:sz="0" w:space="0" w:color="auto"/>
        <w:left w:val="none" w:sz="0" w:space="0" w:color="auto"/>
        <w:bottom w:val="none" w:sz="0" w:space="0" w:color="auto"/>
        <w:right w:val="none" w:sz="0" w:space="0" w:color="auto"/>
      </w:divBdr>
    </w:div>
    <w:div w:id="960038583">
      <w:bodyDiv w:val="1"/>
      <w:marLeft w:val="0"/>
      <w:marRight w:val="0"/>
      <w:marTop w:val="0"/>
      <w:marBottom w:val="0"/>
      <w:divBdr>
        <w:top w:val="none" w:sz="0" w:space="0" w:color="auto"/>
        <w:left w:val="none" w:sz="0" w:space="0" w:color="auto"/>
        <w:bottom w:val="none" w:sz="0" w:space="0" w:color="auto"/>
        <w:right w:val="none" w:sz="0" w:space="0" w:color="auto"/>
      </w:divBdr>
    </w:div>
    <w:div w:id="1301886677">
      <w:bodyDiv w:val="1"/>
      <w:marLeft w:val="0"/>
      <w:marRight w:val="0"/>
      <w:marTop w:val="0"/>
      <w:marBottom w:val="0"/>
      <w:divBdr>
        <w:top w:val="none" w:sz="0" w:space="0" w:color="auto"/>
        <w:left w:val="none" w:sz="0" w:space="0" w:color="auto"/>
        <w:bottom w:val="none" w:sz="0" w:space="0" w:color="auto"/>
        <w:right w:val="none" w:sz="0" w:space="0" w:color="auto"/>
      </w:divBdr>
    </w:div>
    <w:div w:id="1314749193">
      <w:bodyDiv w:val="1"/>
      <w:marLeft w:val="0"/>
      <w:marRight w:val="0"/>
      <w:marTop w:val="0"/>
      <w:marBottom w:val="0"/>
      <w:divBdr>
        <w:top w:val="none" w:sz="0" w:space="0" w:color="auto"/>
        <w:left w:val="none" w:sz="0" w:space="0" w:color="auto"/>
        <w:bottom w:val="none" w:sz="0" w:space="0" w:color="auto"/>
        <w:right w:val="none" w:sz="0" w:space="0" w:color="auto"/>
      </w:divBdr>
    </w:div>
    <w:div w:id="1658679888">
      <w:bodyDiv w:val="1"/>
      <w:marLeft w:val="0"/>
      <w:marRight w:val="0"/>
      <w:marTop w:val="0"/>
      <w:marBottom w:val="0"/>
      <w:divBdr>
        <w:top w:val="none" w:sz="0" w:space="0" w:color="auto"/>
        <w:left w:val="none" w:sz="0" w:space="0" w:color="auto"/>
        <w:bottom w:val="none" w:sz="0" w:space="0" w:color="auto"/>
        <w:right w:val="none" w:sz="0" w:space="0" w:color="auto"/>
      </w:divBdr>
    </w:div>
    <w:div w:id="2004357964">
      <w:bodyDiv w:val="1"/>
      <w:marLeft w:val="0"/>
      <w:marRight w:val="0"/>
      <w:marTop w:val="0"/>
      <w:marBottom w:val="0"/>
      <w:divBdr>
        <w:top w:val="none" w:sz="0" w:space="0" w:color="auto"/>
        <w:left w:val="none" w:sz="0" w:space="0" w:color="auto"/>
        <w:bottom w:val="none" w:sz="0" w:space="0" w:color="auto"/>
        <w:right w:val="none" w:sz="0" w:space="0" w:color="auto"/>
      </w:divBdr>
    </w:div>
    <w:div w:id="20881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ry.silipa@artsaccess.org.nz" TargetMode="External"/><Relationship Id="rId23" Type="http://schemas.openxmlformats.org/officeDocument/2006/relationships/image" Target="media/image8.jpeg"/><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access.org.nz/creative-spaces/creative-spaces-directory" TargetMode="External"/><Relationship Id="rId22" Type="http://schemas.openxmlformats.org/officeDocument/2006/relationships/image" Target="media/image7.gi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sights.nzherald.co.nz/article/richest-and-poorest-househol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gela%20Y\Desktop\Graphs_17%200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2'!$A$4:$A$14</c:f>
              <c:strCache>
                <c:ptCount val="11"/>
                <c:pt idx="0">
                  <c:v>Intellectual disability</c:v>
                </c:pt>
                <c:pt idx="1">
                  <c:v>Deaf or hard of hearing</c:v>
                </c:pt>
                <c:pt idx="2">
                  <c:v>Blind or vision impaired</c:v>
                </c:pt>
                <c:pt idx="3">
                  <c:v>Physical disability including learning disability</c:v>
                </c:pt>
                <c:pt idx="4">
                  <c:v>Mental ill health</c:v>
                </c:pt>
                <c:pt idx="5">
                  <c:v>Age-related vulnerability (youth)</c:v>
                </c:pt>
                <c:pt idx="6">
                  <c:v>Age-related vulnerability (older people)</c:v>
                </c:pt>
                <c:pt idx="7">
                  <c:v>Isolation (due to culture/unemployment/other)</c:v>
                </c:pt>
                <c:pt idx="8">
                  <c:v>Poverty</c:v>
                </c:pt>
                <c:pt idx="9">
                  <c:v>Probations or former offender</c:v>
                </c:pt>
                <c:pt idx="10">
                  <c:v>Other</c:v>
                </c:pt>
              </c:strCache>
            </c:strRef>
          </c:cat>
          <c:val>
            <c:numRef>
              <c:f>'Question 2'!$B$4:$B$14</c:f>
              <c:numCache>
                <c:formatCode>0.00%</c:formatCode>
                <c:ptCount val="11"/>
                <c:pt idx="0">
                  <c:v>0.55000000000000004</c:v>
                </c:pt>
                <c:pt idx="1">
                  <c:v>0.25</c:v>
                </c:pt>
                <c:pt idx="2">
                  <c:v>0.25</c:v>
                </c:pt>
                <c:pt idx="3">
                  <c:v>0.55000000000000004</c:v>
                </c:pt>
                <c:pt idx="4">
                  <c:v>0.7</c:v>
                </c:pt>
                <c:pt idx="5">
                  <c:v>0.55000000000000004</c:v>
                </c:pt>
                <c:pt idx="6">
                  <c:v>0.1</c:v>
                </c:pt>
                <c:pt idx="7">
                  <c:v>0.55000000000000004</c:v>
                </c:pt>
                <c:pt idx="8">
                  <c:v>0.7</c:v>
                </c:pt>
                <c:pt idx="9">
                  <c:v>0.25</c:v>
                </c:pt>
                <c:pt idx="10">
                  <c:v>0.1</c:v>
                </c:pt>
              </c:numCache>
            </c:numRef>
          </c:val>
          <c:extLst>
            <c:ext xmlns:c16="http://schemas.microsoft.com/office/drawing/2014/chart" uri="{C3380CC4-5D6E-409C-BE32-E72D297353CC}">
              <c16:uniqueId val="{00000000-4236-4F56-960F-057905C53A8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3'!$A$4:$A$12</c:f>
              <c:strCache>
                <c:ptCount val="9"/>
                <c:pt idx="0">
                  <c:v>Zero to $49,000</c:v>
                </c:pt>
                <c:pt idx="1">
                  <c:v>$50,000 to $99,000</c:v>
                </c:pt>
                <c:pt idx="2">
                  <c:v>$100,000 to $149,000</c:v>
                </c:pt>
                <c:pt idx="3">
                  <c:v>$150,000 to $199,000</c:v>
                </c:pt>
                <c:pt idx="4">
                  <c:v>$200,000 to $249,000</c:v>
                </c:pt>
                <c:pt idx="5">
                  <c:v>$250,000 to $299,000</c:v>
                </c:pt>
                <c:pt idx="6">
                  <c:v>$300,000 to $399,000</c:v>
                </c:pt>
                <c:pt idx="7">
                  <c:v>$400,000 to $499,000</c:v>
                </c:pt>
                <c:pt idx="8">
                  <c:v>$500,000 plus</c:v>
                </c:pt>
              </c:strCache>
            </c:strRef>
          </c:cat>
          <c:val>
            <c:numRef>
              <c:f>'Question 3'!$B$4:$B$12</c:f>
              <c:numCache>
                <c:formatCode>0.00%</c:formatCode>
                <c:ptCount val="9"/>
                <c:pt idx="0">
                  <c:v>0.33329999999999999</c:v>
                </c:pt>
                <c:pt idx="1">
                  <c:v>0.16669999999999999</c:v>
                </c:pt>
                <c:pt idx="2">
                  <c:v>0</c:v>
                </c:pt>
                <c:pt idx="3">
                  <c:v>0.16669999999999999</c:v>
                </c:pt>
                <c:pt idx="4">
                  <c:v>0</c:v>
                </c:pt>
                <c:pt idx="5">
                  <c:v>5.5599999999999997E-2</c:v>
                </c:pt>
                <c:pt idx="6">
                  <c:v>0.1111</c:v>
                </c:pt>
                <c:pt idx="7">
                  <c:v>5.5599999999999997E-2</c:v>
                </c:pt>
                <c:pt idx="8">
                  <c:v>0.1111</c:v>
                </c:pt>
              </c:numCache>
            </c:numRef>
          </c:val>
          <c:extLst>
            <c:ext xmlns:c16="http://schemas.microsoft.com/office/drawing/2014/chart" uri="{C3380CC4-5D6E-409C-BE32-E72D297353CC}">
              <c16:uniqueId val="{00000000-13E4-4025-97BA-9008C5C28BD2}"/>
            </c:ext>
          </c:extLst>
        </c:ser>
        <c:dLbls>
          <c:showLegendKey val="0"/>
          <c:showVal val="0"/>
          <c:showCatName val="0"/>
          <c:showSerName val="0"/>
          <c:showPercent val="0"/>
          <c:showBubbleSize val="0"/>
        </c:dLbls>
        <c:gapWidth val="150"/>
        <c:axId val="10"/>
        <c:axId val="100"/>
      </c:barChart>
      <c:valAx>
        <c:axId val="100"/>
        <c:scaling>
          <c:orientation val="minMax"/>
        </c:scaling>
        <c:delete val="0"/>
        <c:axPos val="b"/>
        <c:majorGridlines/>
        <c:numFmt formatCode="0.00%" sourceLinked="1"/>
        <c:majorTickMark val="out"/>
        <c:minorTickMark val="none"/>
        <c:tickLblPos val="nextTo"/>
        <c:crossAx val="10"/>
        <c:crosses val="autoZero"/>
        <c:crossBetween val="between"/>
      </c:valAx>
      <c:catAx>
        <c:axId val="10"/>
        <c:scaling>
          <c:orientation val="minMax"/>
        </c:scaling>
        <c:delete val="0"/>
        <c:axPos val="l"/>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48882854356921"/>
          <c:y val="3.0840332458442695E-2"/>
          <c:w val="0.87409927620565409"/>
          <c:h val="0.57856111736033"/>
        </c:manualLayout>
      </c:layout>
      <c:barChart>
        <c:barDir val="col"/>
        <c:grouping val="clustered"/>
        <c:varyColors val="0"/>
        <c:ser>
          <c:idx val="0"/>
          <c:order val="0"/>
          <c:tx>
            <c:strRef>
              <c:f>'Question 8'!$B$3</c:f>
              <c:strCache>
                <c:ptCount val="1"/>
                <c:pt idx="0">
                  <c:v>Responses</c:v>
                </c:pt>
              </c:strCache>
            </c:strRef>
          </c:tx>
          <c:spPr>
            <a:solidFill>
              <a:srgbClr val="00BF6F"/>
            </a:solidFill>
            <a:ln>
              <a:prstDash val="solid"/>
            </a:ln>
          </c:spPr>
          <c:invertIfNegative val="0"/>
          <c:cat>
            <c:strRef>
              <c:f>'Question 8'!$A$4:$A$24</c:f>
              <c:strCache>
                <c:ptCount val="21"/>
                <c:pt idx="0">
                  <c:v>Albert-Eden</c:v>
                </c:pt>
                <c:pt idx="1">
                  <c:v>Aotea/ Great BarrierNo</c:v>
                </c:pt>
                <c:pt idx="2">
                  <c:v>Devonport-Takapuna</c:v>
                </c:pt>
                <c:pt idx="3">
                  <c:v>Franklin</c:v>
                </c:pt>
                <c:pt idx="4">
                  <c:v>Henderson-Massey</c:v>
                </c:pt>
                <c:pt idx="5">
                  <c:v>Hibiscus and Bays</c:v>
                </c:pt>
                <c:pt idx="6">
                  <c:v>Howick</c:v>
                </c:pt>
                <c:pt idx="7">
                  <c:v>Kaipātiki</c:v>
                </c:pt>
                <c:pt idx="8">
                  <c:v>Māngere-Ōtāhuhu</c:v>
                </c:pt>
                <c:pt idx="9">
                  <c:v>Manurewa</c:v>
                </c:pt>
                <c:pt idx="10">
                  <c:v>Maungakiekie-Tāmaki</c:v>
                </c:pt>
                <c:pt idx="11">
                  <c:v>Orākei</c:v>
                </c:pt>
                <c:pt idx="12">
                  <c:v>Ōtara-Papatoetoe</c:v>
                </c:pt>
                <c:pt idx="13">
                  <c:v>Papakura</c:v>
                </c:pt>
                <c:pt idx="14">
                  <c:v>Puketāpapa</c:v>
                </c:pt>
                <c:pt idx="15">
                  <c:v>Rodney</c:v>
                </c:pt>
                <c:pt idx="16">
                  <c:v>Upper Harbour</c:v>
                </c:pt>
                <c:pt idx="17">
                  <c:v>Waiheke</c:v>
                </c:pt>
                <c:pt idx="18">
                  <c:v>Waitākere</c:v>
                </c:pt>
                <c:pt idx="19">
                  <c:v>Waitematā</c:v>
                </c:pt>
                <c:pt idx="20">
                  <c:v>Whau</c:v>
                </c:pt>
              </c:strCache>
            </c:strRef>
          </c:cat>
          <c:val>
            <c:numRef>
              <c:f>'Question 8'!$B$4:$B$24</c:f>
              <c:numCache>
                <c:formatCode>0.00%</c:formatCode>
                <c:ptCount val="21"/>
                <c:pt idx="0">
                  <c:v>0.5</c:v>
                </c:pt>
                <c:pt idx="1">
                  <c:v>0</c:v>
                </c:pt>
                <c:pt idx="2">
                  <c:v>0.15</c:v>
                </c:pt>
                <c:pt idx="3">
                  <c:v>0.05</c:v>
                </c:pt>
                <c:pt idx="4">
                  <c:v>0.5</c:v>
                </c:pt>
                <c:pt idx="5">
                  <c:v>0.2</c:v>
                </c:pt>
                <c:pt idx="6">
                  <c:v>0.15</c:v>
                </c:pt>
                <c:pt idx="7">
                  <c:v>0.15</c:v>
                </c:pt>
                <c:pt idx="8">
                  <c:v>0.3</c:v>
                </c:pt>
                <c:pt idx="9">
                  <c:v>0.3</c:v>
                </c:pt>
                <c:pt idx="10">
                  <c:v>0.45</c:v>
                </c:pt>
                <c:pt idx="11">
                  <c:v>0.2</c:v>
                </c:pt>
                <c:pt idx="12">
                  <c:v>0.3</c:v>
                </c:pt>
                <c:pt idx="13">
                  <c:v>0.15</c:v>
                </c:pt>
                <c:pt idx="14">
                  <c:v>0.2</c:v>
                </c:pt>
                <c:pt idx="15">
                  <c:v>0.1</c:v>
                </c:pt>
                <c:pt idx="16">
                  <c:v>0.1</c:v>
                </c:pt>
                <c:pt idx="17">
                  <c:v>0.05</c:v>
                </c:pt>
                <c:pt idx="18">
                  <c:v>0.3</c:v>
                </c:pt>
                <c:pt idx="19">
                  <c:v>0.35</c:v>
                </c:pt>
                <c:pt idx="20">
                  <c:v>0.15</c:v>
                </c:pt>
              </c:numCache>
            </c:numRef>
          </c:val>
          <c:extLst>
            <c:ext xmlns:c16="http://schemas.microsoft.com/office/drawing/2014/chart" uri="{C3380CC4-5D6E-409C-BE32-E72D297353CC}">
              <c16:uniqueId val="{00000000-DCF1-4501-8080-9A7E52B092C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plotVisOnly val="0"/>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9F586-3E5D-431A-8DB6-5A84341A9EBA}" type="doc">
      <dgm:prSet loTypeId="urn:microsoft.com/office/officeart/2005/8/layout/radial5" loCatId="cycle" qsTypeId="urn:microsoft.com/office/officeart/2005/8/quickstyle/simple1" qsCatId="simple" csTypeId="urn:microsoft.com/office/officeart/2005/8/colors/accent2_2" csCatId="accent2" phldr="1"/>
      <dgm:spPr/>
      <dgm:t>
        <a:bodyPr/>
        <a:lstStyle/>
        <a:p>
          <a:endParaRPr lang="en-NZ"/>
        </a:p>
      </dgm:t>
    </dgm:pt>
    <dgm:pt modelId="{C1C30EC7-91DB-4CB5-9FF6-07813657EB40}">
      <dgm:prSet phldrT="[Text]" custT="1"/>
      <dgm:spPr/>
      <dgm:t>
        <a:bodyPr/>
        <a:lstStyle/>
        <a:p>
          <a:r>
            <a:rPr lang="en-NZ" sz="1400" b="1">
              <a:latin typeface="Century Gothic" panose="020B0502020202020204" pitchFamily="34" charset="0"/>
            </a:rPr>
            <a:t>Sustainable sector </a:t>
          </a:r>
        </a:p>
      </dgm:t>
    </dgm:pt>
    <dgm:pt modelId="{791FCE18-E54B-424B-B665-EC43FC7292ED}" type="parTrans" cxnId="{0FD8292E-E687-4143-B02C-FF2815647880}">
      <dgm:prSet/>
      <dgm:spPr/>
      <dgm:t>
        <a:bodyPr/>
        <a:lstStyle/>
        <a:p>
          <a:endParaRPr lang="en-NZ"/>
        </a:p>
      </dgm:t>
    </dgm:pt>
    <dgm:pt modelId="{328810C6-CF42-4DDF-999E-3BF5BF9426DB}" type="sibTrans" cxnId="{0FD8292E-E687-4143-B02C-FF2815647880}">
      <dgm:prSet/>
      <dgm:spPr/>
      <dgm:t>
        <a:bodyPr/>
        <a:lstStyle/>
        <a:p>
          <a:endParaRPr lang="en-NZ"/>
        </a:p>
      </dgm:t>
    </dgm:pt>
    <dgm:pt modelId="{CDD7978E-3D47-422B-B8C9-A82FE087509D}">
      <dgm:prSet phldrT="[Text]"/>
      <dgm:spPr/>
      <dgm:t>
        <a:bodyPr/>
        <a:lstStyle/>
        <a:p>
          <a:r>
            <a:rPr lang="en-NZ">
              <a:latin typeface="Century Gothic" panose="020B0502020202020204" pitchFamily="34" charset="0"/>
            </a:rPr>
            <a:t>2. Sustainable funding</a:t>
          </a:r>
        </a:p>
      </dgm:t>
    </dgm:pt>
    <dgm:pt modelId="{D719A09E-9084-43E0-B3E2-4891EE42B241}" type="parTrans" cxnId="{6343559D-BDFD-43EA-98D9-9EE6CF09CE13}">
      <dgm:prSet/>
      <dgm:spPr/>
      <dgm:t>
        <a:bodyPr/>
        <a:lstStyle/>
        <a:p>
          <a:endParaRPr lang="en-NZ"/>
        </a:p>
      </dgm:t>
    </dgm:pt>
    <dgm:pt modelId="{AE17CEEB-7105-4447-B20E-A490C5E33087}" type="sibTrans" cxnId="{6343559D-BDFD-43EA-98D9-9EE6CF09CE13}">
      <dgm:prSet/>
      <dgm:spPr/>
      <dgm:t>
        <a:bodyPr/>
        <a:lstStyle/>
        <a:p>
          <a:endParaRPr lang="en-NZ"/>
        </a:p>
      </dgm:t>
    </dgm:pt>
    <dgm:pt modelId="{357791B7-190B-4482-BEB0-5CFBA8243993}">
      <dgm:prSet phldrT="[Text]"/>
      <dgm:spPr/>
      <dgm:t>
        <a:bodyPr/>
        <a:lstStyle/>
        <a:p>
          <a:r>
            <a:rPr lang="en-NZ">
              <a:latin typeface="Century Gothic" panose="020B0502020202020204" pitchFamily="34" charset="0"/>
            </a:rPr>
            <a:t>3. Strengthened capability</a:t>
          </a:r>
        </a:p>
      </dgm:t>
    </dgm:pt>
    <dgm:pt modelId="{13A1EE9F-00A3-443F-AAE2-B31F0B440BCA}" type="parTrans" cxnId="{60757BCF-A23C-4C2A-8088-0272E8C26AF2}">
      <dgm:prSet/>
      <dgm:spPr/>
      <dgm:t>
        <a:bodyPr/>
        <a:lstStyle/>
        <a:p>
          <a:endParaRPr lang="en-NZ"/>
        </a:p>
      </dgm:t>
    </dgm:pt>
    <dgm:pt modelId="{4E342C18-75DC-43AF-8BA6-50D012C328DA}" type="sibTrans" cxnId="{60757BCF-A23C-4C2A-8088-0272E8C26AF2}">
      <dgm:prSet/>
      <dgm:spPr/>
      <dgm:t>
        <a:bodyPr/>
        <a:lstStyle/>
        <a:p>
          <a:endParaRPr lang="en-NZ"/>
        </a:p>
      </dgm:t>
    </dgm:pt>
    <dgm:pt modelId="{18F445FC-2E55-4BF0-A368-C92A84EC1430}">
      <dgm:prSet phldrT="[Text]"/>
      <dgm:spPr/>
      <dgm:t>
        <a:bodyPr/>
        <a:lstStyle/>
        <a:p>
          <a:r>
            <a:rPr lang="en-NZ">
              <a:latin typeface="Century Gothic" panose="020B0502020202020204" pitchFamily="34" charset="0"/>
            </a:rPr>
            <a:t>4. Coordinated voice</a:t>
          </a:r>
        </a:p>
      </dgm:t>
    </dgm:pt>
    <dgm:pt modelId="{E50BD0B1-7537-4968-A135-A3B53C683049}" type="parTrans" cxnId="{D3B4A692-C775-4D60-984A-A4309534B6C8}">
      <dgm:prSet/>
      <dgm:spPr/>
      <dgm:t>
        <a:bodyPr/>
        <a:lstStyle/>
        <a:p>
          <a:endParaRPr lang="en-NZ"/>
        </a:p>
      </dgm:t>
    </dgm:pt>
    <dgm:pt modelId="{3678E4BE-377D-4E5F-91BB-9638F38CEC57}" type="sibTrans" cxnId="{D3B4A692-C775-4D60-984A-A4309534B6C8}">
      <dgm:prSet/>
      <dgm:spPr/>
      <dgm:t>
        <a:bodyPr/>
        <a:lstStyle/>
        <a:p>
          <a:endParaRPr lang="en-NZ"/>
        </a:p>
      </dgm:t>
    </dgm:pt>
    <dgm:pt modelId="{FBED3F9B-A989-42B4-9ED3-8541C712F8E1}">
      <dgm:prSet/>
      <dgm:spPr/>
      <dgm:t>
        <a:bodyPr/>
        <a:lstStyle/>
        <a:p>
          <a:r>
            <a:rPr lang="en-NZ">
              <a:latin typeface="Century Gothic" panose="020B0502020202020204" pitchFamily="34" charset="0"/>
            </a:rPr>
            <a:t>5. Accessible &amp; visible  sector</a:t>
          </a:r>
        </a:p>
      </dgm:t>
    </dgm:pt>
    <dgm:pt modelId="{A89C754A-4F66-4E3A-A0A1-E55827BEEC64}" type="parTrans" cxnId="{89C4EB11-D2D4-44D6-9400-0E0CF543BCBD}">
      <dgm:prSet/>
      <dgm:spPr/>
      <dgm:t>
        <a:bodyPr/>
        <a:lstStyle/>
        <a:p>
          <a:endParaRPr lang="en-NZ"/>
        </a:p>
      </dgm:t>
    </dgm:pt>
    <dgm:pt modelId="{1AA05F40-A091-4575-A73C-7D42E2D97884}" type="sibTrans" cxnId="{89C4EB11-D2D4-44D6-9400-0E0CF543BCBD}">
      <dgm:prSet/>
      <dgm:spPr/>
      <dgm:t>
        <a:bodyPr/>
        <a:lstStyle/>
        <a:p>
          <a:endParaRPr lang="en-NZ"/>
        </a:p>
      </dgm:t>
    </dgm:pt>
    <dgm:pt modelId="{081573D5-79FA-43AE-B216-7703BD59FEC1}">
      <dgm:prSet/>
      <dgm:spPr/>
      <dgm:t>
        <a:bodyPr/>
        <a:lstStyle/>
        <a:p>
          <a:r>
            <a:rPr lang="en-NZ">
              <a:latin typeface="Century Gothic" panose="020B0502020202020204" pitchFamily="34" charset="0"/>
            </a:rPr>
            <a:t>1. Recognition of value</a:t>
          </a:r>
        </a:p>
      </dgm:t>
    </dgm:pt>
    <dgm:pt modelId="{F3F7DCA5-D788-4F8A-A6D9-295EA9355374}" type="parTrans" cxnId="{AF355E16-5998-4D1A-B08B-4269F3EB2C82}">
      <dgm:prSet/>
      <dgm:spPr/>
      <dgm:t>
        <a:bodyPr/>
        <a:lstStyle/>
        <a:p>
          <a:endParaRPr lang="en-NZ"/>
        </a:p>
      </dgm:t>
    </dgm:pt>
    <dgm:pt modelId="{EE856102-086B-4298-99EF-E8B3736BDFD6}" type="sibTrans" cxnId="{AF355E16-5998-4D1A-B08B-4269F3EB2C82}">
      <dgm:prSet/>
      <dgm:spPr/>
      <dgm:t>
        <a:bodyPr/>
        <a:lstStyle/>
        <a:p>
          <a:endParaRPr lang="en-NZ"/>
        </a:p>
      </dgm:t>
    </dgm:pt>
    <dgm:pt modelId="{A2F8BC74-3A7E-4C78-BF30-4753BCFE2E43}" type="pres">
      <dgm:prSet presAssocID="{D559F586-3E5D-431A-8DB6-5A84341A9EBA}" presName="Name0" presStyleCnt="0">
        <dgm:presLayoutVars>
          <dgm:chMax val="1"/>
          <dgm:dir/>
          <dgm:animLvl val="ctr"/>
          <dgm:resizeHandles val="exact"/>
        </dgm:presLayoutVars>
      </dgm:prSet>
      <dgm:spPr/>
    </dgm:pt>
    <dgm:pt modelId="{78360736-2C21-4704-9613-7C06D1673650}" type="pres">
      <dgm:prSet presAssocID="{C1C30EC7-91DB-4CB5-9FF6-07813657EB40}" presName="centerShape" presStyleLbl="node0" presStyleIdx="0" presStyleCnt="1" custScaleX="204629" custScaleY="104127" custLinFactNeighborX="1023" custLinFactNeighborY="-2430"/>
      <dgm:spPr/>
    </dgm:pt>
    <dgm:pt modelId="{88EC5806-3A5A-46AB-97EE-0AD2FAE3BDA9}" type="pres">
      <dgm:prSet presAssocID="{D719A09E-9084-43E0-B3E2-4891EE42B241}" presName="parTrans" presStyleLbl="sibTrans2D1" presStyleIdx="0" presStyleCnt="5" custAng="10800000" custScaleX="359680" custScaleY="95296" custLinFactNeighborX="-11236" custLinFactNeighborY="-13440"/>
      <dgm:spPr/>
    </dgm:pt>
    <dgm:pt modelId="{A288BB15-CBEA-43C6-A27C-1DCCE2E69AC8}" type="pres">
      <dgm:prSet presAssocID="{D719A09E-9084-43E0-B3E2-4891EE42B241}" presName="connectorText" presStyleLbl="sibTrans2D1" presStyleIdx="0" presStyleCnt="5"/>
      <dgm:spPr/>
    </dgm:pt>
    <dgm:pt modelId="{02320B71-E4CD-4A6D-BB61-EC7BD9257FE9}" type="pres">
      <dgm:prSet presAssocID="{CDD7978E-3D47-422B-B8C9-A82FE087509D}" presName="node" presStyleLbl="node1" presStyleIdx="0" presStyleCnt="5">
        <dgm:presLayoutVars>
          <dgm:bulletEnabled val="1"/>
        </dgm:presLayoutVars>
      </dgm:prSet>
      <dgm:spPr/>
    </dgm:pt>
    <dgm:pt modelId="{E92F3A6D-C752-467D-B31D-13FECE74B0D4}" type="pres">
      <dgm:prSet presAssocID="{13A1EE9F-00A3-443F-AAE2-B31F0B440BCA}" presName="parTrans" presStyleLbl="sibTrans2D1" presStyleIdx="1" presStyleCnt="5" custAng="10247734" custScaleX="635847" custScaleY="83160" custLinFactNeighborX="65514" custLinFactNeighborY="8960"/>
      <dgm:spPr/>
    </dgm:pt>
    <dgm:pt modelId="{AA9E2B93-4495-4E37-8D4B-75F3692F067B}" type="pres">
      <dgm:prSet presAssocID="{13A1EE9F-00A3-443F-AAE2-B31F0B440BCA}" presName="connectorText" presStyleLbl="sibTrans2D1" presStyleIdx="1" presStyleCnt="5"/>
      <dgm:spPr/>
    </dgm:pt>
    <dgm:pt modelId="{3B435EBC-E307-41B6-B698-D934C29BFED6}" type="pres">
      <dgm:prSet presAssocID="{357791B7-190B-4482-BEB0-5CFBA8243993}" presName="node" presStyleLbl="node1" presStyleIdx="1" presStyleCnt="5" custRadScaleRad="111688" custRadScaleInc="-2826">
        <dgm:presLayoutVars>
          <dgm:bulletEnabled val="1"/>
        </dgm:presLayoutVars>
      </dgm:prSet>
      <dgm:spPr/>
    </dgm:pt>
    <dgm:pt modelId="{95F78A8B-2BF1-48F2-A50F-27FB0F51078C}" type="pres">
      <dgm:prSet presAssocID="{E50BD0B1-7537-4968-A135-A3B53C683049}" presName="parTrans" presStyleLbl="sibTrans2D1" presStyleIdx="2" presStyleCnt="5" custAng="10766019" custScaleX="276628" custLinFactNeighborX="-22756" custLinFactNeighborY="0"/>
      <dgm:spPr/>
    </dgm:pt>
    <dgm:pt modelId="{D0DC923E-3793-437A-BE1C-5804A1C2CEE4}" type="pres">
      <dgm:prSet presAssocID="{E50BD0B1-7537-4968-A135-A3B53C683049}" presName="connectorText" presStyleLbl="sibTrans2D1" presStyleIdx="2" presStyleCnt="5"/>
      <dgm:spPr/>
    </dgm:pt>
    <dgm:pt modelId="{8D79A0DE-B4E4-4E75-A200-EEB971A4DB22}" type="pres">
      <dgm:prSet presAssocID="{18F445FC-2E55-4BF0-A368-C92A84EC1430}" presName="node" presStyleLbl="node1" presStyleIdx="2" presStyleCnt="5">
        <dgm:presLayoutVars>
          <dgm:bulletEnabled val="1"/>
        </dgm:presLayoutVars>
      </dgm:prSet>
      <dgm:spPr/>
    </dgm:pt>
    <dgm:pt modelId="{A08A9802-E2CD-499D-8B52-A603E5D4D7BD}" type="pres">
      <dgm:prSet presAssocID="{A89C754A-4F66-4E3A-A0A1-E55827BEEC64}" presName="parTrans" presStyleLbl="sibTrans2D1" presStyleIdx="3" presStyleCnt="5" custAng="10982050" custScaleX="455109" custScaleY="94676" custLinFactNeighborX="-55216" custLinFactNeighborY="24641"/>
      <dgm:spPr/>
    </dgm:pt>
    <dgm:pt modelId="{5570DA96-66F7-43AC-AF74-6584B4A54B5E}" type="pres">
      <dgm:prSet presAssocID="{A89C754A-4F66-4E3A-A0A1-E55827BEEC64}" presName="connectorText" presStyleLbl="sibTrans2D1" presStyleIdx="3" presStyleCnt="5"/>
      <dgm:spPr/>
    </dgm:pt>
    <dgm:pt modelId="{642C023A-6A24-4FA6-9505-AA0C5D781DC1}" type="pres">
      <dgm:prSet presAssocID="{FBED3F9B-A989-42B4-9ED3-8541C712F8E1}" presName="node" presStyleLbl="node1" presStyleIdx="3" presStyleCnt="5">
        <dgm:presLayoutVars>
          <dgm:bulletEnabled val="1"/>
        </dgm:presLayoutVars>
      </dgm:prSet>
      <dgm:spPr/>
    </dgm:pt>
    <dgm:pt modelId="{C1D0AA5A-0BF2-492E-8977-BADF8F75F40D}" type="pres">
      <dgm:prSet presAssocID="{F3F7DCA5-D788-4F8A-A6D9-295EA9355374}" presName="parTrans" presStyleLbl="sibTrans2D1" presStyleIdx="4" presStyleCnt="5" custAng="8442063" custFlipVert="1" custScaleX="563061" custScaleY="86494" custLinFactX="-42866" custLinFactNeighborX="-100000" custLinFactNeighborY="-20161"/>
      <dgm:spPr/>
    </dgm:pt>
    <dgm:pt modelId="{77F94575-9910-4EC7-9029-EE1DC9CD7238}" type="pres">
      <dgm:prSet presAssocID="{F3F7DCA5-D788-4F8A-A6D9-295EA9355374}" presName="connectorText" presStyleLbl="sibTrans2D1" presStyleIdx="4" presStyleCnt="5"/>
      <dgm:spPr/>
    </dgm:pt>
    <dgm:pt modelId="{AA721EB9-86D9-40B2-951A-ABB096BD6A8F}" type="pres">
      <dgm:prSet presAssocID="{081573D5-79FA-43AE-B216-7703BD59FEC1}" presName="node" presStyleLbl="node1" presStyleIdx="4" presStyleCnt="5" custRadScaleRad="115021" custRadScaleInc="6246">
        <dgm:presLayoutVars>
          <dgm:bulletEnabled val="1"/>
        </dgm:presLayoutVars>
      </dgm:prSet>
      <dgm:spPr/>
    </dgm:pt>
  </dgm:ptLst>
  <dgm:cxnLst>
    <dgm:cxn modelId="{885FCE0A-A179-4F0B-ADCF-8E2E3FEE3795}" type="presOf" srcId="{D719A09E-9084-43E0-B3E2-4891EE42B241}" destId="{A288BB15-CBEA-43C6-A27C-1DCCE2E69AC8}" srcOrd="1" destOrd="0" presId="urn:microsoft.com/office/officeart/2005/8/layout/radial5"/>
    <dgm:cxn modelId="{18B44710-D419-4A12-9074-DB6E6DC0A9C1}" type="presOf" srcId="{13A1EE9F-00A3-443F-AAE2-B31F0B440BCA}" destId="{E92F3A6D-C752-467D-B31D-13FECE74B0D4}" srcOrd="0" destOrd="0" presId="urn:microsoft.com/office/officeart/2005/8/layout/radial5"/>
    <dgm:cxn modelId="{89C4EB11-D2D4-44D6-9400-0E0CF543BCBD}" srcId="{C1C30EC7-91DB-4CB5-9FF6-07813657EB40}" destId="{FBED3F9B-A989-42B4-9ED3-8541C712F8E1}" srcOrd="3" destOrd="0" parTransId="{A89C754A-4F66-4E3A-A0A1-E55827BEEC64}" sibTransId="{1AA05F40-A091-4575-A73C-7D42E2D97884}"/>
    <dgm:cxn modelId="{14905315-726C-4046-A23D-61516AB5E1F7}" type="presOf" srcId="{F3F7DCA5-D788-4F8A-A6D9-295EA9355374}" destId="{C1D0AA5A-0BF2-492E-8977-BADF8F75F40D}" srcOrd="0" destOrd="0" presId="urn:microsoft.com/office/officeart/2005/8/layout/radial5"/>
    <dgm:cxn modelId="{AF355E16-5998-4D1A-B08B-4269F3EB2C82}" srcId="{C1C30EC7-91DB-4CB5-9FF6-07813657EB40}" destId="{081573D5-79FA-43AE-B216-7703BD59FEC1}" srcOrd="4" destOrd="0" parTransId="{F3F7DCA5-D788-4F8A-A6D9-295EA9355374}" sibTransId="{EE856102-086B-4298-99EF-E8B3736BDFD6}"/>
    <dgm:cxn modelId="{FEA41022-60AE-4088-9E30-9A09C701053D}" type="presOf" srcId="{E50BD0B1-7537-4968-A135-A3B53C683049}" destId="{95F78A8B-2BF1-48F2-A50F-27FB0F51078C}" srcOrd="0" destOrd="0" presId="urn:microsoft.com/office/officeart/2005/8/layout/radial5"/>
    <dgm:cxn modelId="{0FD8292E-E687-4143-B02C-FF2815647880}" srcId="{D559F586-3E5D-431A-8DB6-5A84341A9EBA}" destId="{C1C30EC7-91DB-4CB5-9FF6-07813657EB40}" srcOrd="0" destOrd="0" parTransId="{791FCE18-E54B-424B-B665-EC43FC7292ED}" sibTransId="{328810C6-CF42-4DDF-999E-3BF5BF9426DB}"/>
    <dgm:cxn modelId="{2753C43D-2980-4962-9358-C50AF5D408B2}" type="presOf" srcId="{A89C754A-4F66-4E3A-A0A1-E55827BEEC64}" destId="{A08A9802-E2CD-499D-8B52-A603E5D4D7BD}" srcOrd="0" destOrd="0" presId="urn:microsoft.com/office/officeart/2005/8/layout/radial5"/>
    <dgm:cxn modelId="{506D433F-3931-457D-A330-0C3AE55B80A9}" type="presOf" srcId="{13A1EE9F-00A3-443F-AAE2-B31F0B440BCA}" destId="{AA9E2B93-4495-4E37-8D4B-75F3692F067B}" srcOrd="1" destOrd="0" presId="urn:microsoft.com/office/officeart/2005/8/layout/radial5"/>
    <dgm:cxn modelId="{B28C015B-351C-41DA-A75D-5FCBF0192472}" type="presOf" srcId="{CDD7978E-3D47-422B-B8C9-A82FE087509D}" destId="{02320B71-E4CD-4A6D-BB61-EC7BD9257FE9}" srcOrd="0" destOrd="0" presId="urn:microsoft.com/office/officeart/2005/8/layout/radial5"/>
    <dgm:cxn modelId="{5309175D-1B68-42D8-B682-35116545454D}" type="presOf" srcId="{D559F586-3E5D-431A-8DB6-5A84341A9EBA}" destId="{A2F8BC74-3A7E-4C78-BF30-4753BCFE2E43}" srcOrd="0" destOrd="0" presId="urn:microsoft.com/office/officeart/2005/8/layout/radial5"/>
    <dgm:cxn modelId="{C71A8F72-0E81-4C8A-82C3-F3B45008070E}" type="presOf" srcId="{C1C30EC7-91DB-4CB5-9FF6-07813657EB40}" destId="{78360736-2C21-4704-9613-7C06D1673650}" srcOrd="0" destOrd="0" presId="urn:microsoft.com/office/officeart/2005/8/layout/radial5"/>
    <dgm:cxn modelId="{9558A177-882E-4BF4-974E-8A97E7D00B44}" type="presOf" srcId="{E50BD0B1-7537-4968-A135-A3B53C683049}" destId="{D0DC923E-3793-437A-BE1C-5804A1C2CEE4}" srcOrd="1" destOrd="0" presId="urn:microsoft.com/office/officeart/2005/8/layout/radial5"/>
    <dgm:cxn modelId="{4E09D67A-68D7-4114-B5DB-B76617FC9AA1}" type="presOf" srcId="{A89C754A-4F66-4E3A-A0A1-E55827BEEC64}" destId="{5570DA96-66F7-43AC-AF74-6584B4A54B5E}" srcOrd="1" destOrd="0" presId="urn:microsoft.com/office/officeart/2005/8/layout/radial5"/>
    <dgm:cxn modelId="{8580557E-69BC-4D1C-BDAB-6F794B890A5E}" type="presOf" srcId="{F3F7DCA5-D788-4F8A-A6D9-295EA9355374}" destId="{77F94575-9910-4EC7-9029-EE1DC9CD7238}" srcOrd="1" destOrd="0" presId="urn:microsoft.com/office/officeart/2005/8/layout/radial5"/>
    <dgm:cxn modelId="{5E08398D-CF1F-4909-A77F-B6DD068A2DF6}" type="presOf" srcId="{D719A09E-9084-43E0-B3E2-4891EE42B241}" destId="{88EC5806-3A5A-46AB-97EE-0AD2FAE3BDA9}" srcOrd="0" destOrd="0" presId="urn:microsoft.com/office/officeart/2005/8/layout/radial5"/>
    <dgm:cxn modelId="{D3B4A692-C775-4D60-984A-A4309534B6C8}" srcId="{C1C30EC7-91DB-4CB5-9FF6-07813657EB40}" destId="{18F445FC-2E55-4BF0-A368-C92A84EC1430}" srcOrd="2" destOrd="0" parTransId="{E50BD0B1-7537-4968-A135-A3B53C683049}" sibTransId="{3678E4BE-377D-4E5F-91BB-9638F38CEC57}"/>
    <dgm:cxn modelId="{6343559D-BDFD-43EA-98D9-9EE6CF09CE13}" srcId="{C1C30EC7-91DB-4CB5-9FF6-07813657EB40}" destId="{CDD7978E-3D47-422B-B8C9-A82FE087509D}" srcOrd="0" destOrd="0" parTransId="{D719A09E-9084-43E0-B3E2-4891EE42B241}" sibTransId="{AE17CEEB-7105-4447-B20E-A490C5E33087}"/>
    <dgm:cxn modelId="{60757BCF-A23C-4C2A-8088-0272E8C26AF2}" srcId="{C1C30EC7-91DB-4CB5-9FF6-07813657EB40}" destId="{357791B7-190B-4482-BEB0-5CFBA8243993}" srcOrd="1" destOrd="0" parTransId="{13A1EE9F-00A3-443F-AAE2-B31F0B440BCA}" sibTransId="{4E342C18-75DC-43AF-8BA6-50D012C328DA}"/>
    <dgm:cxn modelId="{2152A2D7-8388-4724-98AD-908701FB3107}" type="presOf" srcId="{357791B7-190B-4482-BEB0-5CFBA8243993}" destId="{3B435EBC-E307-41B6-B698-D934C29BFED6}" srcOrd="0" destOrd="0" presId="urn:microsoft.com/office/officeart/2005/8/layout/radial5"/>
    <dgm:cxn modelId="{7F7BA2E9-39B9-4371-B86B-315172922028}" type="presOf" srcId="{18F445FC-2E55-4BF0-A368-C92A84EC1430}" destId="{8D79A0DE-B4E4-4E75-A200-EEB971A4DB22}" srcOrd="0" destOrd="0" presId="urn:microsoft.com/office/officeart/2005/8/layout/radial5"/>
    <dgm:cxn modelId="{885C81EA-A6C6-47B1-BFB6-FC70EBD1C7D3}" type="presOf" srcId="{FBED3F9B-A989-42B4-9ED3-8541C712F8E1}" destId="{642C023A-6A24-4FA6-9505-AA0C5D781DC1}" srcOrd="0" destOrd="0" presId="urn:microsoft.com/office/officeart/2005/8/layout/radial5"/>
    <dgm:cxn modelId="{2D5E3AF9-8AB9-4070-BE9C-95F69284472F}" type="presOf" srcId="{081573D5-79FA-43AE-B216-7703BD59FEC1}" destId="{AA721EB9-86D9-40B2-951A-ABB096BD6A8F}" srcOrd="0" destOrd="0" presId="urn:microsoft.com/office/officeart/2005/8/layout/radial5"/>
    <dgm:cxn modelId="{0F7B0378-0E07-4DD4-A9BE-BC6F790FBAB7}" type="presParOf" srcId="{A2F8BC74-3A7E-4C78-BF30-4753BCFE2E43}" destId="{78360736-2C21-4704-9613-7C06D1673650}" srcOrd="0" destOrd="0" presId="urn:microsoft.com/office/officeart/2005/8/layout/radial5"/>
    <dgm:cxn modelId="{701C0901-0561-4C67-A2E1-FEE989BE0C37}" type="presParOf" srcId="{A2F8BC74-3A7E-4C78-BF30-4753BCFE2E43}" destId="{88EC5806-3A5A-46AB-97EE-0AD2FAE3BDA9}" srcOrd="1" destOrd="0" presId="urn:microsoft.com/office/officeart/2005/8/layout/radial5"/>
    <dgm:cxn modelId="{C6142DE7-9BB3-421E-B3D0-FDDC531EB680}" type="presParOf" srcId="{88EC5806-3A5A-46AB-97EE-0AD2FAE3BDA9}" destId="{A288BB15-CBEA-43C6-A27C-1DCCE2E69AC8}" srcOrd="0" destOrd="0" presId="urn:microsoft.com/office/officeart/2005/8/layout/radial5"/>
    <dgm:cxn modelId="{72A99303-1306-46CF-829E-D216F8F2A544}" type="presParOf" srcId="{A2F8BC74-3A7E-4C78-BF30-4753BCFE2E43}" destId="{02320B71-E4CD-4A6D-BB61-EC7BD9257FE9}" srcOrd="2" destOrd="0" presId="urn:microsoft.com/office/officeart/2005/8/layout/radial5"/>
    <dgm:cxn modelId="{D40CACBA-5AB2-4C84-B82C-B0B499CF299D}" type="presParOf" srcId="{A2F8BC74-3A7E-4C78-BF30-4753BCFE2E43}" destId="{E92F3A6D-C752-467D-B31D-13FECE74B0D4}" srcOrd="3" destOrd="0" presId="urn:microsoft.com/office/officeart/2005/8/layout/radial5"/>
    <dgm:cxn modelId="{C78E45EB-7404-4193-9999-79A0E9ACE960}" type="presParOf" srcId="{E92F3A6D-C752-467D-B31D-13FECE74B0D4}" destId="{AA9E2B93-4495-4E37-8D4B-75F3692F067B}" srcOrd="0" destOrd="0" presId="urn:microsoft.com/office/officeart/2005/8/layout/radial5"/>
    <dgm:cxn modelId="{187837D7-5B67-43F2-B536-C9F3BEB76D36}" type="presParOf" srcId="{A2F8BC74-3A7E-4C78-BF30-4753BCFE2E43}" destId="{3B435EBC-E307-41B6-B698-D934C29BFED6}" srcOrd="4" destOrd="0" presId="urn:microsoft.com/office/officeart/2005/8/layout/radial5"/>
    <dgm:cxn modelId="{1E933B18-AF5D-4B64-931A-A42F84B63CC5}" type="presParOf" srcId="{A2F8BC74-3A7E-4C78-BF30-4753BCFE2E43}" destId="{95F78A8B-2BF1-48F2-A50F-27FB0F51078C}" srcOrd="5" destOrd="0" presId="urn:microsoft.com/office/officeart/2005/8/layout/radial5"/>
    <dgm:cxn modelId="{4511F0C7-8E9E-4B0B-B29D-A42327B05614}" type="presParOf" srcId="{95F78A8B-2BF1-48F2-A50F-27FB0F51078C}" destId="{D0DC923E-3793-437A-BE1C-5804A1C2CEE4}" srcOrd="0" destOrd="0" presId="urn:microsoft.com/office/officeart/2005/8/layout/radial5"/>
    <dgm:cxn modelId="{86D3DA63-C897-4FA0-A49E-7DFA85D24C30}" type="presParOf" srcId="{A2F8BC74-3A7E-4C78-BF30-4753BCFE2E43}" destId="{8D79A0DE-B4E4-4E75-A200-EEB971A4DB22}" srcOrd="6" destOrd="0" presId="urn:microsoft.com/office/officeart/2005/8/layout/radial5"/>
    <dgm:cxn modelId="{C1543F2E-1259-4DBF-B025-8ECD47CD56C5}" type="presParOf" srcId="{A2F8BC74-3A7E-4C78-BF30-4753BCFE2E43}" destId="{A08A9802-E2CD-499D-8B52-A603E5D4D7BD}" srcOrd="7" destOrd="0" presId="urn:microsoft.com/office/officeart/2005/8/layout/radial5"/>
    <dgm:cxn modelId="{FE590FDF-2D40-4C49-AE97-50E67120C190}" type="presParOf" srcId="{A08A9802-E2CD-499D-8B52-A603E5D4D7BD}" destId="{5570DA96-66F7-43AC-AF74-6584B4A54B5E}" srcOrd="0" destOrd="0" presId="urn:microsoft.com/office/officeart/2005/8/layout/radial5"/>
    <dgm:cxn modelId="{484C8246-49A9-4B0B-A707-D863961E0B53}" type="presParOf" srcId="{A2F8BC74-3A7E-4C78-BF30-4753BCFE2E43}" destId="{642C023A-6A24-4FA6-9505-AA0C5D781DC1}" srcOrd="8" destOrd="0" presId="urn:microsoft.com/office/officeart/2005/8/layout/radial5"/>
    <dgm:cxn modelId="{968A5B60-1AA8-4F90-BEB4-8ADCB936F354}" type="presParOf" srcId="{A2F8BC74-3A7E-4C78-BF30-4753BCFE2E43}" destId="{C1D0AA5A-0BF2-492E-8977-BADF8F75F40D}" srcOrd="9" destOrd="0" presId="urn:microsoft.com/office/officeart/2005/8/layout/radial5"/>
    <dgm:cxn modelId="{3E75D793-F3A9-4507-B68A-393A29BA76EA}" type="presParOf" srcId="{C1D0AA5A-0BF2-492E-8977-BADF8F75F40D}" destId="{77F94575-9910-4EC7-9029-EE1DC9CD7238}" srcOrd="0" destOrd="0" presId="urn:microsoft.com/office/officeart/2005/8/layout/radial5"/>
    <dgm:cxn modelId="{CDF941A5-C674-45FF-BCF8-DDAC8FA088AC}" type="presParOf" srcId="{A2F8BC74-3A7E-4C78-BF30-4753BCFE2E43}" destId="{AA721EB9-86D9-40B2-951A-ABB096BD6A8F}" srcOrd="10" destOrd="0" presId="urn:microsoft.com/office/officeart/2005/8/layout/radial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360736-2C21-4704-9613-7C06D1673650}">
      <dsp:nvSpPr>
        <dsp:cNvPr id="0" name=""/>
        <dsp:cNvSpPr/>
      </dsp:nvSpPr>
      <dsp:spPr>
        <a:xfrm>
          <a:off x="2415970" y="1141334"/>
          <a:ext cx="1500276" cy="76342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NZ" sz="1400" b="1" kern="1200">
              <a:latin typeface="Century Gothic" panose="020B0502020202020204" pitchFamily="34" charset="0"/>
            </a:rPr>
            <a:t>Sustainable sector </a:t>
          </a:r>
        </a:p>
      </dsp:txBody>
      <dsp:txXfrm>
        <a:off x="2635680" y="1253135"/>
        <a:ext cx="1060856" cy="539825"/>
      </dsp:txXfrm>
    </dsp:sp>
    <dsp:sp modelId="{88EC5806-3A5A-46AB-97EE-0AD2FAE3BDA9}">
      <dsp:nvSpPr>
        <dsp:cNvPr id="0" name=""/>
        <dsp:cNvSpPr/>
      </dsp:nvSpPr>
      <dsp:spPr>
        <a:xfrm rot="5326082">
          <a:off x="2926644" y="879480"/>
          <a:ext cx="430878" cy="23755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10800000">
        <a:off x="2961510" y="891366"/>
        <a:ext cx="359613" cy="142531"/>
      </dsp:txXfrm>
    </dsp:sp>
    <dsp:sp modelId="{02320B71-E4CD-4A6D-BB61-EC7BD9257FE9}">
      <dsp:nvSpPr>
        <dsp:cNvPr id="0" name=""/>
        <dsp:cNvSpPr/>
      </dsp:nvSpPr>
      <dsp:spPr>
        <a:xfrm>
          <a:off x="2687883" y="4753"/>
          <a:ext cx="910733" cy="9107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latin typeface="Century Gothic" panose="020B0502020202020204" pitchFamily="34" charset="0"/>
            </a:rPr>
            <a:t>2. Sustainable funding</a:t>
          </a:r>
        </a:p>
      </dsp:txBody>
      <dsp:txXfrm>
        <a:off x="2821257" y="138127"/>
        <a:ext cx="643985" cy="643985"/>
      </dsp:txXfrm>
    </dsp:sp>
    <dsp:sp modelId="{E92F3A6D-C752-467D-B31D-13FECE74B0D4}">
      <dsp:nvSpPr>
        <dsp:cNvPr id="0" name=""/>
        <dsp:cNvSpPr/>
      </dsp:nvSpPr>
      <dsp:spPr>
        <a:xfrm rot="9231475">
          <a:off x="3738933" y="1234254"/>
          <a:ext cx="273224" cy="20729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3797942" y="1262014"/>
        <a:ext cx="211034" cy="124379"/>
      </dsp:txXfrm>
    </dsp:sp>
    <dsp:sp modelId="{3B435EBC-E307-41B6-B698-D934C29BFED6}">
      <dsp:nvSpPr>
        <dsp:cNvPr id="0" name=""/>
        <dsp:cNvSpPr/>
      </dsp:nvSpPr>
      <dsp:spPr>
        <a:xfrm>
          <a:off x="3867584" y="715375"/>
          <a:ext cx="910733" cy="9107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latin typeface="Century Gothic" panose="020B0502020202020204" pitchFamily="34" charset="0"/>
            </a:rPr>
            <a:t>3. Strengthened capability</a:t>
          </a:r>
        </a:p>
      </dsp:txBody>
      <dsp:txXfrm>
        <a:off x="4000958" y="848749"/>
        <a:ext cx="643985" cy="643985"/>
      </dsp:txXfrm>
    </dsp:sp>
    <dsp:sp modelId="{95F78A8B-2BF1-48F2-A50F-27FB0F51078C}">
      <dsp:nvSpPr>
        <dsp:cNvPr id="0" name=""/>
        <dsp:cNvSpPr/>
      </dsp:nvSpPr>
      <dsp:spPr>
        <a:xfrm rot="14156908">
          <a:off x="3253217" y="1865225"/>
          <a:ext cx="380749" cy="249277"/>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3311545" y="1946060"/>
        <a:ext cx="305966" cy="149567"/>
      </dsp:txXfrm>
    </dsp:sp>
    <dsp:sp modelId="{8D79A0DE-B4E4-4E75-A200-EEB971A4DB22}">
      <dsp:nvSpPr>
        <dsp:cNvPr id="0" name=""/>
        <dsp:cNvSpPr/>
      </dsp:nvSpPr>
      <dsp:spPr>
        <a:xfrm>
          <a:off x="3344571" y="2025832"/>
          <a:ext cx="910733" cy="9107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latin typeface="Century Gothic" panose="020B0502020202020204" pitchFamily="34" charset="0"/>
            </a:rPr>
            <a:t>4. Coordinated voice</a:t>
          </a:r>
        </a:p>
      </dsp:txBody>
      <dsp:txXfrm>
        <a:off x="3477945" y="2159206"/>
        <a:ext cx="643985" cy="643985"/>
      </dsp:txXfrm>
    </dsp:sp>
    <dsp:sp modelId="{A08A9802-E2CD-499D-8B52-A603E5D4D7BD}">
      <dsp:nvSpPr>
        <dsp:cNvPr id="0" name=""/>
        <dsp:cNvSpPr/>
      </dsp:nvSpPr>
      <dsp:spPr>
        <a:xfrm rot="18502768">
          <a:off x="2414841" y="1935936"/>
          <a:ext cx="673252" cy="23600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10800000">
        <a:off x="2428263" y="2010888"/>
        <a:ext cx="602451" cy="141603"/>
      </dsp:txXfrm>
    </dsp:sp>
    <dsp:sp modelId="{642C023A-6A24-4FA6-9505-AA0C5D781DC1}">
      <dsp:nvSpPr>
        <dsp:cNvPr id="0" name=""/>
        <dsp:cNvSpPr/>
      </dsp:nvSpPr>
      <dsp:spPr>
        <a:xfrm>
          <a:off x="2031194" y="2025832"/>
          <a:ext cx="910733" cy="9107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latin typeface="Century Gothic" panose="020B0502020202020204" pitchFamily="34" charset="0"/>
            </a:rPr>
            <a:t>5. Accessible &amp; visible  sector</a:t>
          </a:r>
        </a:p>
      </dsp:txBody>
      <dsp:txXfrm>
        <a:off x="2164568" y="2159206"/>
        <a:ext cx="643985" cy="643985"/>
      </dsp:txXfrm>
    </dsp:sp>
    <dsp:sp modelId="{C1D0AA5A-0BF2-492E-8977-BADF8F75F40D}">
      <dsp:nvSpPr>
        <dsp:cNvPr id="0" name=""/>
        <dsp:cNvSpPr/>
      </dsp:nvSpPr>
      <dsp:spPr>
        <a:xfrm rot="1300032" flipV="1">
          <a:off x="2079545" y="1138375"/>
          <a:ext cx="495621" cy="21561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rot="10800000">
        <a:off x="2081830" y="1169556"/>
        <a:ext cx="430938" cy="129366"/>
      </dsp:txXfrm>
    </dsp:sp>
    <dsp:sp modelId="{AA721EB9-86D9-40B2-951A-ABB096BD6A8F}">
      <dsp:nvSpPr>
        <dsp:cNvPr id="0" name=""/>
        <dsp:cNvSpPr/>
      </dsp:nvSpPr>
      <dsp:spPr>
        <a:xfrm>
          <a:off x="1482255" y="677233"/>
          <a:ext cx="910733" cy="9107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latin typeface="Century Gothic" panose="020B0502020202020204" pitchFamily="34" charset="0"/>
            </a:rPr>
            <a:t>1. Recognition of value</a:t>
          </a:r>
        </a:p>
      </dsp:txBody>
      <dsp:txXfrm>
        <a:off x="1615629" y="810607"/>
        <a:ext cx="643985" cy="6439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C2E2D-D926-488A-93C1-784F19577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16C88-3786-4F66-82D2-4743B447027A}">
  <ds:schemaRefs>
    <ds:schemaRef ds:uri="http://schemas.openxmlformats.org/officeDocument/2006/bibliography"/>
  </ds:schemaRefs>
</ds:datastoreItem>
</file>

<file path=customXml/itemProps3.xml><?xml version="1.0" encoding="utf-8"?>
<ds:datastoreItem xmlns:ds="http://schemas.openxmlformats.org/officeDocument/2006/customXml" ds:itemID="{C12A7AAF-E275-4FBA-9C28-E2298E4A6045}">
  <ds:schemaRefs>
    <ds:schemaRef ds:uri="http://schemas.microsoft.com/sharepoint/v3/contenttype/forms"/>
  </ds:schemaRefs>
</ds:datastoreItem>
</file>

<file path=customXml/itemProps4.xml><?xml version="1.0" encoding="utf-8"?>
<ds:datastoreItem xmlns:ds="http://schemas.openxmlformats.org/officeDocument/2006/customXml" ds:itemID="{63EC89B6-C1BB-40CC-80AD-D1AD0865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3454</Words>
  <Characters>19690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23098</CharactersWithSpaces>
  <SharedDoc>false</SharedDoc>
  <HLinks>
    <vt:vector size="60" baseType="variant">
      <vt:variant>
        <vt:i4>5505135</vt:i4>
      </vt:variant>
      <vt:variant>
        <vt:i4>48</vt:i4>
      </vt:variant>
      <vt:variant>
        <vt:i4>0</vt:i4>
      </vt:variant>
      <vt:variant>
        <vt:i4>5</vt:i4>
      </vt:variant>
      <vt:variant>
        <vt:lpwstr>mailto:gary.silipa@artsaccess.org.nz</vt:lpwstr>
      </vt:variant>
      <vt:variant>
        <vt:lpwstr/>
      </vt:variant>
      <vt:variant>
        <vt:i4>2359350</vt:i4>
      </vt:variant>
      <vt:variant>
        <vt:i4>45</vt:i4>
      </vt:variant>
      <vt:variant>
        <vt:i4>0</vt:i4>
      </vt:variant>
      <vt:variant>
        <vt:i4>5</vt:i4>
      </vt:variant>
      <vt:variant>
        <vt:lpwstr>https://artsaccess.org.nz/creative-spaces/creative-spaces-directory</vt:lpwstr>
      </vt:variant>
      <vt:variant>
        <vt:lpwstr/>
      </vt:variant>
      <vt:variant>
        <vt:i4>1900605</vt:i4>
      </vt:variant>
      <vt:variant>
        <vt:i4>38</vt:i4>
      </vt:variant>
      <vt:variant>
        <vt:i4>0</vt:i4>
      </vt:variant>
      <vt:variant>
        <vt:i4>5</vt:i4>
      </vt:variant>
      <vt:variant>
        <vt:lpwstr/>
      </vt:variant>
      <vt:variant>
        <vt:lpwstr>_Toc54870900</vt:lpwstr>
      </vt:variant>
      <vt:variant>
        <vt:i4>1376308</vt:i4>
      </vt:variant>
      <vt:variant>
        <vt:i4>32</vt:i4>
      </vt:variant>
      <vt:variant>
        <vt:i4>0</vt:i4>
      </vt:variant>
      <vt:variant>
        <vt:i4>5</vt:i4>
      </vt:variant>
      <vt:variant>
        <vt:lpwstr/>
      </vt:variant>
      <vt:variant>
        <vt:lpwstr>_Toc54870899</vt:lpwstr>
      </vt:variant>
      <vt:variant>
        <vt:i4>1310772</vt:i4>
      </vt:variant>
      <vt:variant>
        <vt:i4>26</vt:i4>
      </vt:variant>
      <vt:variant>
        <vt:i4>0</vt:i4>
      </vt:variant>
      <vt:variant>
        <vt:i4>5</vt:i4>
      </vt:variant>
      <vt:variant>
        <vt:lpwstr/>
      </vt:variant>
      <vt:variant>
        <vt:lpwstr>_Toc54870898</vt:lpwstr>
      </vt:variant>
      <vt:variant>
        <vt:i4>1769524</vt:i4>
      </vt:variant>
      <vt:variant>
        <vt:i4>20</vt:i4>
      </vt:variant>
      <vt:variant>
        <vt:i4>0</vt:i4>
      </vt:variant>
      <vt:variant>
        <vt:i4>5</vt:i4>
      </vt:variant>
      <vt:variant>
        <vt:lpwstr/>
      </vt:variant>
      <vt:variant>
        <vt:lpwstr>_Toc54870897</vt:lpwstr>
      </vt:variant>
      <vt:variant>
        <vt:i4>1703988</vt:i4>
      </vt:variant>
      <vt:variant>
        <vt:i4>14</vt:i4>
      </vt:variant>
      <vt:variant>
        <vt:i4>0</vt:i4>
      </vt:variant>
      <vt:variant>
        <vt:i4>5</vt:i4>
      </vt:variant>
      <vt:variant>
        <vt:lpwstr/>
      </vt:variant>
      <vt:variant>
        <vt:lpwstr>_Toc54870896</vt:lpwstr>
      </vt:variant>
      <vt:variant>
        <vt:i4>1638452</vt:i4>
      </vt:variant>
      <vt:variant>
        <vt:i4>8</vt:i4>
      </vt:variant>
      <vt:variant>
        <vt:i4>0</vt:i4>
      </vt:variant>
      <vt:variant>
        <vt:i4>5</vt:i4>
      </vt:variant>
      <vt:variant>
        <vt:lpwstr/>
      </vt:variant>
      <vt:variant>
        <vt:lpwstr>_Toc54870895</vt:lpwstr>
      </vt:variant>
      <vt:variant>
        <vt:i4>1572916</vt:i4>
      </vt:variant>
      <vt:variant>
        <vt:i4>2</vt:i4>
      </vt:variant>
      <vt:variant>
        <vt:i4>0</vt:i4>
      </vt:variant>
      <vt:variant>
        <vt:i4>5</vt:i4>
      </vt:variant>
      <vt:variant>
        <vt:lpwstr/>
      </vt:variant>
      <vt:variant>
        <vt:lpwstr>_Toc54870894</vt:lpwstr>
      </vt:variant>
      <vt:variant>
        <vt:i4>7929889</vt:i4>
      </vt:variant>
      <vt:variant>
        <vt:i4>0</vt:i4>
      </vt:variant>
      <vt:variant>
        <vt:i4>0</vt:i4>
      </vt:variant>
      <vt:variant>
        <vt:i4>5</vt:i4>
      </vt:variant>
      <vt:variant>
        <vt:lpwstr>https://insights.nzherald.co.nz/article/richest-and-poorest-households/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Benge</dc:creator>
  <cp:keywords/>
  <cp:lastModifiedBy>Richard Benge</cp:lastModifiedBy>
  <cp:revision>47</cp:revision>
  <cp:lastPrinted>2020-11-19T21:24:00Z</cp:lastPrinted>
  <dcterms:created xsi:type="dcterms:W3CDTF">2020-10-30T13:17:00Z</dcterms:created>
  <dcterms:modified xsi:type="dcterms:W3CDTF">2020-11-19T21:25:00Z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y fmtid="{D5CDD505-2E9C-101B-9397-08002B2CF9AE}" pid="3" name="amzn:id">
    <vt:lpwstr>2e716330-a513-454e-b52e-3a74c1d3b4c0</vt:lpwstr>
  </property>
</Properties>
</file>